
<file path=[Content_Types].xml><?xml version="1.0" encoding="utf-8"?>
<Types xmlns="http://schemas.openxmlformats.org/package/2006/content-types">
  <Default Extension="xml" ContentType="application/xml"/>
  <Default Extension="emf" ContentType="image/x-emf"/>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B 05</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6"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14</w:t>
            </w:r>
            <w:r>
              <w:fldChar w:fldCharType="end"/>
            </w:r>
            <w:bookmarkEnd w:id="2"/>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pPr>
        <w:pStyle w:val="195"/>
        <w:framePr/>
        <w:rPr>
          <w:lang w:val="fr-FR"/>
        </w:rPr>
      </w:pPr>
      <w:r>
        <w:rPr>
          <w:lang w:val="fr-FR"/>
        </w:rPr>
        <w:t>DB</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14/T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pPr>
        <w:pStyle w:val="196"/>
        <w:framePr/>
        <w:rPr>
          <w:rFonts w:hint="default" w:hAnsi="黑体" w:eastAsia="黑体"/>
          <w:lang w:val="en-US" w:eastAsia="zh-CN"/>
        </w:rPr>
      </w:pPr>
      <w:r>
        <w:rPr>
          <w:rFonts w:hint="eastAsia" w:hAnsi="黑体"/>
          <w:lang w:eastAsia="zh-CN"/>
        </w:rPr>
        <w:t>代替</w:t>
      </w:r>
      <w:r>
        <w:rPr>
          <w:rFonts w:hint="eastAsia" w:hAnsi="黑体"/>
          <w:lang w:val="en-US" w:eastAsia="zh-CN"/>
        </w:rPr>
        <w:t xml:space="preserve"> DB14/T 885-2014</w:t>
      </w: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山楂叶螨综合防治技术规程</w:t>
      </w:r>
      <w:r>
        <w:fldChar w:fldCharType="end"/>
      </w:r>
      <w:bookmarkEnd w:id="7"/>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8"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8"/>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3"/>
        <w:framePr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bookmarkStart w:id="80" w:name="_GoBack"/>
      <w:bookmarkEnd w:id="80"/>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pPr>
      <w:bookmarkStart w:id="19" w:name="BookMark1"/>
      <w:bookmarkStart w:id="20" w:name="_Toc160707850"/>
      <w:bookmarkStart w:id="21" w:name="_Toc160707893"/>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"_Toc173510351"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_Toc173510351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"_Toc173510352"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_Toc173510352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"_Toc173510353"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_Toc173510353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"_Toc173510354"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_Toc173510354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"_Toc173510355" </w:instrText>
      </w:r>
      <w:r>
        <w:fldChar w:fldCharType="separate"/>
      </w:r>
      <w:r>
        <w:rPr>
          <w:rStyle w:val="32"/>
          <w:rFonts w:hint="eastAsia"/>
        </w:rPr>
        <w:t>4</w:t>
      </w:r>
      <w:r>
        <w:rPr>
          <w:rStyle w:val="32"/>
        </w:rPr>
        <w:t xml:space="preserve"> </w:t>
      </w:r>
      <w:r>
        <w:rPr>
          <w:rStyle w:val="32"/>
          <w:rFonts w:hint="eastAsia"/>
        </w:rPr>
        <w:t xml:space="preserve"> 防治原则</w:t>
      </w:r>
      <w:r>
        <w:rPr>
          <w:rFonts w:hint="eastAsia"/>
        </w:rPr>
        <w:tab/>
      </w:r>
      <w:r>
        <w:rPr>
          <w:rFonts w:hint="eastAsia"/>
        </w:rPr>
        <w:fldChar w:fldCharType="begin"/>
      </w:r>
      <w:r>
        <w:rPr>
          <w:rFonts w:hint="eastAsia"/>
        </w:rPr>
        <w:instrText xml:space="preserve"> </w:instrText>
      </w:r>
      <w:r>
        <w:instrText xml:space="preserve">PAGEREF _Toc173510355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"_Toc173510356" </w:instrText>
      </w:r>
      <w:r>
        <w:fldChar w:fldCharType="separate"/>
      </w:r>
      <w:r>
        <w:rPr>
          <w:rStyle w:val="32"/>
          <w:rFonts w:hint="eastAsia"/>
        </w:rPr>
        <w:t>5</w:t>
      </w:r>
      <w:r>
        <w:rPr>
          <w:rStyle w:val="32"/>
        </w:rPr>
        <w:t xml:space="preserve"> </w:t>
      </w:r>
      <w:r>
        <w:rPr>
          <w:rStyle w:val="32"/>
          <w:rFonts w:hint="eastAsia"/>
        </w:rPr>
        <w:t xml:space="preserve"> 防治技术</w:t>
      </w:r>
      <w:r>
        <w:rPr>
          <w:rFonts w:hint="eastAsia"/>
        </w:rPr>
        <w:tab/>
      </w:r>
      <w:r>
        <w:rPr>
          <w:rFonts w:hint="eastAsia"/>
        </w:rPr>
        <w:fldChar w:fldCharType="begin"/>
      </w:r>
      <w:r>
        <w:rPr>
          <w:rFonts w:hint="eastAsia"/>
        </w:rPr>
        <w:instrText xml:space="preserve"> </w:instrText>
      </w:r>
      <w:r>
        <w:instrText xml:space="preserve">PAGEREF _Toc173510356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"_Toc173510357" </w:instrText>
      </w:r>
      <w:r>
        <w:fldChar w:fldCharType="separate"/>
      </w:r>
      <w:r>
        <w:rPr>
          <w:rStyle w:val="32"/>
          <w:rFonts w:hint="eastAsia"/>
        </w:rPr>
        <w:t>6</w:t>
      </w:r>
      <w:r>
        <w:rPr>
          <w:rStyle w:val="32"/>
        </w:rPr>
        <w:t xml:space="preserve"> </w:t>
      </w:r>
      <w:r>
        <w:rPr>
          <w:rStyle w:val="32"/>
          <w:rFonts w:hint="eastAsia"/>
        </w:rPr>
        <w:t xml:space="preserve"> 安全生产管理档案</w:t>
      </w:r>
      <w:r>
        <w:rPr>
          <w:rFonts w:hint="eastAsia"/>
        </w:rPr>
        <w:tab/>
      </w:r>
      <w:r>
        <w:rPr>
          <w:rFonts w:hint="eastAsia"/>
        </w:rPr>
        <w:fldChar w:fldCharType="begin"/>
      </w:r>
      <w:r>
        <w:rPr>
          <w:rFonts w:hint="eastAsia"/>
        </w:rPr>
        <w:instrText xml:space="preserve"> </w:instrText>
      </w:r>
      <w:r>
        <w:instrText xml:space="preserve">PAGEREF _Toc173510357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"_Toc173510358" </w:instrText>
      </w:r>
      <w:r>
        <w:fldChar w:fldCharType="separate"/>
      </w:r>
      <w:r>
        <w:rPr>
          <w:rStyle w:val="32"/>
          <w:rFonts w:hint="eastAsia"/>
        </w:rPr>
        <w:t>附录A（资料性）</w:t>
      </w:r>
      <w:r>
        <w:rPr>
          <w:rStyle w:val="32"/>
        </w:rPr>
        <w:t xml:space="preserve"> </w:t>
      </w:r>
      <w:r>
        <w:rPr>
          <w:rStyle w:val="32"/>
          <w:rFonts w:hint="eastAsia"/>
        </w:rPr>
        <w:t xml:space="preserve"> 山楂叶螨识别特征</w:t>
      </w:r>
      <w:r>
        <w:rPr>
          <w:rFonts w:hint="eastAsia"/>
        </w:rPr>
        <w:tab/>
      </w:r>
      <w:r>
        <w:rPr>
          <w:rFonts w:hint="eastAsia"/>
        </w:rPr>
        <w:fldChar w:fldCharType="begin"/>
      </w:r>
      <w:r>
        <w:rPr>
          <w:rFonts w:hint="eastAsia"/>
        </w:rPr>
        <w:instrText xml:space="preserve"> </w:instrText>
      </w:r>
      <w:r>
        <w:instrText xml:space="preserve">PAGEREF _Toc173510358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"_Toc173510359" </w:instrText>
      </w:r>
      <w:r>
        <w:fldChar w:fldCharType="separate"/>
      </w:r>
      <w:r>
        <w:rPr>
          <w:rStyle w:val="32"/>
          <w:rFonts w:hint="eastAsia"/>
        </w:rPr>
        <w:t>附录B（资料性）</w:t>
      </w:r>
      <w:r>
        <w:rPr>
          <w:rStyle w:val="32"/>
        </w:rPr>
        <w:t xml:space="preserve"> </w:t>
      </w:r>
      <w:r>
        <w:rPr>
          <w:rStyle w:val="32"/>
          <w:rFonts w:hint="eastAsia"/>
        </w:rPr>
        <w:t xml:space="preserve"> 推荐使用的农药种类</w:t>
      </w:r>
      <w:r>
        <w:rPr>
          <w:rFonts w:hint="eastAsia"/>
        </w:rPr>
        <w:tab/>
      </w:r>
      <w:r>
        <w:rPr>
          <w:rFonts w:hint="eastAsia"/>
        </w:rPr>
        <w:fldChar w:fldCharType="begin"/>
      </w:r>
      <w:r>
        <w:rPr>
          <w:rFonts w:hint="eastAsia"/>
        </w:rPr>
        <w:instrText xml:space="preserve"> </w:instrText>
      </w:r>
      <w:r>
        <w:instrText xml:space="preserve">PAGEREF _Toc173510359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"_Toc173510360" </w:instrText>
      </w:r>
      <w:r>
        <w:fldChar w:fldCharType="separate"/>
      </w:r>
      <w:r>
        <w:rPr>
          <w:rStyle w:val="32"/>
          <w:rFonts w:hint="eastAsia"/>
        </w:rPr>
        <w:t>附录C（资料性）</w:t>
      </w:r>
      <w:r>
        <w:rPr>
          <w:rStyle w:val="32"/>
        </w:rPr>
        <w:t xml:space="preserve"> </w:t>
      </w:r>
      <w:r>
        <w:rPr>
          <w:rStyle w:val="32"/>
          <w:rFonts w:hint="eastAsia"/>
        </w:rPr>
        <w:t xml:space="preserve"> 农药使用记录</w:t>
      </w:r>
      <w:r>
        <w:rPr>
          <w:rFonts w:hint="eastAsia"/>
        </w:rPr>
        <w:tab/>
      </w:r>
      <w:r>
        <w:rPr>
          <w:rFonts w:hint="eastAsia"/>
        </w:rPr>
        <w:fldChar w:fldCharType="begin"/>
      </w:r>
      <w:r>
        <w:rPr>
          <w:rFonts w:hint="eastAsia"/>
        </w:rPr>
        <w:instrText xml:space="preserve"> </w:instrText>
      </w:r>
      <w:r>
        <w:instrText xml:space="preserve">PAGEREF _Toc173510360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9"/>
    <w:p>
      <w:pPr>
        <w:pStyle w:val="89"/>
        <w:spacing w:before="900" w:after="468"/>
      </w:pPr>
      <w:bookmarkStart w:id="22" w:name="_Toc173510351"/>
      <w:bookmarkStart w:id="23" w:name="BookMark2"/>
      <w:r>
        <w:rPr>
          <w:spacing w:val="320"/>
        </w:rPr>
        <w:t>前</w:t>
      </w:r>
      <w:r>
        <w:t>言</w:t>
      </w:r>
      <w:bookmarkEnd w:id="20"/>
      <w:bookmarkEnd w:id="21"/>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w:t>
      </w:r>
      <w:r>
        <w:t>替代</w:t>
      </w:r>
      <w:r>
        <w:rPr>
          <w:rFonts w:hint="eastAsia"/>
        </w:rPr>
        <w:t>DB 14</w:t>
      </w:r>
      <w:r>
        <w:t>/T 885-201</w:t>
      </w:r>
      <w:r>
        <w:rPr>
          <w:rFonts w:hint="eastAsia"/>
          <w:lang w:val="en-US" w:eastAsia="zh-CN"/>
        </w:rPr>
        <w:t>4</w:t>
      </w:r>
      <w:r>
        <w:rPr>
          <w:rFonts w:hint="eastAsia"/>
        </w:rPr>
        <w:t>《山楂</w:t>
      </w:r>
      <w:r>
        <w:t>叶螨综合防治技术规程</w:t>
      </w:r>
      <w:r>
        <w:rPr>
          <w:rFonts w:hint="eastAsia"/>
        </w:rPr>
        <w:t>》，与DB14/T 885-</w:t>
      </w:r>
      <w:r>
        <w:t>201</w:t>
      </w:r>
      <w:r>
        <w:rPr>
          <w:rFonts w:hint="eastAsia"/>
          <w:lang w:val="en-US" w:eastAsia="zh-CN"/>
        </w:rPr>
        <w:t>4</w:t>
      </w:r>
      <w:r>
        <w:rPr>
          <w:rFonts w:hint="eastAsia"/>
        </w:rPr>
        <w:t>相比，除结构调整和编辑性改动外，主要技术变化如下：</w:t>
      </w:r>
    </w:p>
    <w:p>
      <w:pPr>
        <w:pStyle w:val="56"/>
        <w:ind w:firstLine="420"/>
      </w:pPr>
      <w:r>
        <w:rPr>
          <w:rFonts w:hint="eastAsia"/>
        </w:rPr>
        <w:t>——更改了</w:t>
      </w:r>
      <w:r>
        <w:t>化学</w:t>
      </w:r>
      <w:r>
        <w:rPr>
          <w:rFonts w:hint="eastAsia"/>
        </w:rPr>
        <w:t>防治药剂种类及</w:t>
      </w:r>
      <w:r>
        <w:t>用量</w:t>
      </w:r>
      <w:r>
        <w:rPr>
          <w:rFonts w:hint="eastAsia"/>
        </w:rPr>
        <w:t>（见5）</w:t>
      </w:r>
      <w:r>
        <w:t>；</w:t>
      </w:r>
    </w:p>
    <w:p>
      <w:pPr>
        <w:pStyle w:val="56"/>
        <w:ind w:firstLine="420"/>
      </w:pPr>
      <w:r>
        <w:rPr>
          <w:rFonts w:hint="eastAsia"/>
        </w:rPr>
        <w:t>——增加了安全生产</w:t>
      </w:r>
      <w:r>
        <w:t>管理档案（</w:t>
      </w:r>
      <w:r>
        <w:rPr>
          <w:rFonts w:hint="eastAsia"/>
        </w:rPr>
        <w:t>见6</w:t>
      </w:r>
      <w:r>
        <w:t>）</w:t>
      </w:r>
      <w:r>
        <w:rPr>
          <w:rFonts w:hint="eastAsia"/>
        </w:rPr>
        <w:t>；</w:t>
      </w:r>
    </w:p>
    <w:p>
      <w:pPr>
        <w:pStyle w:val="56"/>
        <w:ind w:firstLine="420"/>
      </w:pPr>
      <w:r>
        <w:rPr>
          <w:rFonts w:hint="eastAsia"/>
        </w:rPr>
        <w:t>——删除了果树上</w:t>
      </w:r>
      <w:r>
        <w:t>禁止使用的农药种类</w:t>
      </w:r>
      <w:r>
        <w:rPr>
          <w:rFonts w:hint="eastAsia"/>
        </w:rPr>
        <w:t>（见2013版 附录A）</w:t>
      </w:r>
    </w:p>
    <w:p>
      <w:pPr>
        <w:pStyle w:val="56"/>
        <w:ind w:firstLine="420"/>
      </w:pPr>
      <w:r>
        <w:rPr>
          <w:rFonts w:hint="eastAsia"/>
        </w:rPr>
        <w:t>——增加了附录（见</w:t>
      </w:r>
      <w:r>
        <w:t>附录</w:t>
      </w:r>
      <w:r>
        <w:rPr>
          <w:rFonts w:hint="eastAsia"/>
        </w:rPr>
        <w:t>A</w:t>
      </w:r>
      <w:r>
        <w:t>、附录B和附录C</w:t>
      </w:r>
      <w:r>
        <w:rPr>
          <w:rFonts w:hint="eastAsia"/>
        </w:rPr>
        <w:t>）</w:t>
      </w:r>
    </w:p>
    <w:p>
      <w:pPr>
        <w:pStyle w:val="56"/>
        <w:ind w:firstLine="420"/>
      </w:pPr>
      <w:r>
        <w:rPr>
          <w:rFonts w:hint="eastAsia"/>
        </w:rPr>
        <w:t>本文件由山西省农业农村厅提出、组织实施</w:t>
      </w:r>
      <w:r>
        <w:t>和</w:t>
      </w:r>
      <w:r>
        <w:rPr>
          <w:rFonts w:hint="eastAsia"/>
        </w:rPr>
        <w:t>监督检查。</w:t>
      </w:r>
    </w:p>
    <w:p>
      <w:pPr>
        <w:pStyle w:val="56"/>
        <w:ind w:firstLine="420"/>
      </w:pPr>
      <w:r>
        <w:rPr>
          <w:rFonts w:hint="eastAsia"/>
        </w:rPr>
        <w:t>山西省市场监督管理局对标准的组织实施情况进行监督检查。</w:t>
      </w:r>
    </w:p>
    <w:p>
      <w:pPr>
        <w:pStyle w:val="56"/>
        <w:ind w:firstLine="420"/>
      </w:pPr>
      <w:r>
        <w:rPr>
          <w:rFonts w:hint="eastAsia"/>
        </w:rPr>
        <w:t>本文件由山西省农业标准化技术委员会（SXS/TC 19)归口。</w:t>
      </w:r>
    </w:p>
    <w:p>
      <w:pPr>
        <w:pStyle w:val="56"/>
        <w:ind w:firstLine="420"/>
      </w:pPr>
      <w:r>
        <w:rPr>
          <w:rFonts w:hint="eastAsia"/>
        </w:rPr>
        <w:t>本文件起草单位：</w:t>
      </w:r>
      <w:r>
        <w:t>山西农业</w:t>
      </w:r>
      <w:r>
        <w:rPr>
          <w:rFonts w:hint="eastAsia"/>
        </w:rPr>
        <w:t>大学</w:t>
      </w:r>
      <w:r>
        <w:t xml:space="preserve">。 </w:t>
      </w:r>
    </w:p>
    <w:p>
      <w:pPr>
        <w:pStyle w:val="56"/>
        <w:ind w:firstLine="420"/>
      </w:pPr>
      <w:r>
        <w:rPr>
          <w:rFonts w:hint="eastAsia"/>
        </w:rPr>
        <w:t>本文件主要起草人：封云涛、郭晓君、李娅</w:t>
      </w:r>
      <w:r>
        <w:t>、</w:t>
      </w:r>
      <w:r>
        <w:rPr>
          <w:rFonts w:hint="eastAsia"/>
        </w:rPr>
        <w:t>张润祥、庾琴。</w:t>
      </w:r>
    </w:p>
    <w:p>
      <w:pPr>
        <w:pStyle w:val="56"/>
        <w:ind w:firstLine="420"/>
      </w:pPr>
      <w:r>
        <w:rPr>
          <w:rFonts w:hint="eastAsia"/>
        </w:rPr>
        <w:t>本文件及其所代替文件的历次版本发布情况为：</w:t>
      </w:r>
    </w:p>
    <w:p>
      <w:pPr>
        <w:pStyle w:val="56"/>
        <w:ind w:firstLine="420"/>
      </w:pPr>
      <w:r>
        <w:rPr>
          <w:rFonts w:hint="eastAsia"/>
        </w:rPr>
        <w:t>——</w:t>
      </w:r>
      <w:r>
        <w:t>2014</w:t>
      </w:r>
      <w:r>
        <w:rPr>
          <w:rFonts w:hint="eastAsia"/>
          <w:lang w:eastAsia="zh-CN"/>
        </w:rPr>
        <w:t>年</w:t>
      </w:r>
      <w:r>
        <w:rPr>
          <w:rFonts w:hint="eastAsia"/>
        </w:rPr>
        <w:t xml:space="preserve">首次发布为DB14/T </w:t>
      </w:r>
      <w:r>
        <w:t>885</w:t>
      </w:r>
      <w:r>
        <w:rPr>
          <w:rFonts w:hint="eastAsia"/>
        </w:rPr>
        <w:t>—201</w:t>
      </w:r>
      <w:r>
        <w:rPr>
          <w:rFonts w:hint="eastAsia"/>
          <w:lang w:val="en-US" w:eastAsia="zh-CN"/>
        </w:rPr>
        <w:t>4</w:t>
      </w:r>
      <w:r>
        <w:rPr>
          <w:rFonts w:hint="eastAsia"/>
        </w:rPr>
        <w:t>；</w:t>
      </w:r>
    </w:p>
    <w:p>
      <w:pPr>
        <w:pStyle w:val="56"/>
        <w:ind w:firstLine="420"/>
      </w:pPr>
      <w:r>
        <w:rPr>
          <w:rFonts w:hint="eastAsia"/>
        </w:rPr>
        <w:t>——本次为第</w:t>
      </w:r>
      <w:r>
        <w:t>1</w:t>
      </w:r>
      <w:r>
        <w:rPr>
          <w:rFonts w:hint="eastAsia"/>
        </w:rPr>
        <w:t>次修订。</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0E2ACBDE2352438C8B809197EE9629B1"/>
        </w:placeholder>
      </w:sdtPr>
      <w:sdtContent>
        <w:p>
          <w:pPr>
            <w:pStyle w:val="177"/>
            <w:spacing w:before="3" w:beforeLines="1" w:after="686" w:afterLines="220"/>
          </w:pPr>
          <w:bookmarkStart w:id="25" w:name="NEW_STAND_NAME"/>
          <w:r>
            <w:rPr>
              <w:rFonts w:hint="eastAsia"/>
            </w:rPr>
            <w:t>山楂叶螨综合防治技术规程</w:t>
          </w:r>
        </w:p>
      </w:sdtContent>
    </w:sdt>
    <w:bookmarkEnd w:id="25"/>
    <w:p>
      <w:pPr>
        <w:pStyle w:val="104"/>
        <w:spacing w:before="312" w:after="312"/>
      </w:pPr>
      <w:bookmarkStart w:id="26" w:name="_Toc173510352"/>
      <w:bookmarkStart w:id="27" w:name="_Toc26986530"/>
      <w:bookmarkStart w:id="28" w:name="_Toc17233325"/>
      <w:bookmarkStart w:id="29" w:name="_Toc17233333"/>
      <w:bookmarkStart w:id="30" w:name="_Toc26986771"/>
      <w:bookmarkStart w:id="31" w:name="_Toc160707894"/>
      <w:bookmarkStart w:id="32" w:name="_Toc24884218"/>
      <w:bookmarkStart w:id="33" w:name="_Toc26718930"/>
      <w:bookmarkStart w:id="34" w:name="_Toc26648465"/>
      <w:bookmarkStart w:id="35" w:name="_Toc160707851"/>
      <w:bookmarkStart w:id="36" w:name="_Toc24884211"/>
      <w:bookmarkStart w:id="37" w:name="_Toc97191423"/>
      <w:r>
        <w:rPr>
          <w:rFonts w:hint="eastAsia"/>
        </w:rPr>
        <w:t>范围</w:t>
      </w:r>
      <w:bookmarkEnd w:id="26"/>
      <w:bookmarkEnd w:id="27"/>
      <w:bookmarkEnd w:id="28"/>
      <w:bookmarkEnd w:id="29"/>
      <w:bookmarkEnd w:id="30"/>
      <w:bookmarkEnd w:id="31"/>
      <w:bookmarkEnd w:id="32"/>
      <w:bookmarkEnd w:id="33"/>
      <w:bookmarkEnd w:id="34"/>
      <w:bookmarkEnd w:id="35"/>
      <w:bookmarkEnd w:id="36"/>
      <w:bookmarkEnd w:id="37"/>
    </w:p>
    <w:p>
      <w:pPr>
        <w:pStyle w:val="56"/>
        <w:ind w:firstLine="420"/>
      </w:pPr>
      <w:r>
        <w:rPr>
          <w:rFonts w:hint="eastAsia"/>
        </w:rPr>
        <w:t>本文件</w:t>
      </w:r>
      <w:r>
        <w:t>规定了</w:t>
      </w:r>
      <w:r>
        <w:rPr>
          <w:rFonts w:hint="eastAsia"/>
        </w:rPr>
        <w:t>山楂叶螨综合防治技术的</w:t>
      </w:r>
      <w:r>
        <w:t>术语和定义</w:t>
      </w:r>
      <w:r>
        <w:rPr>
          <w:rFonts w:hint="eastAsia"/>
        </w:rPr>
        <w:t>、防治原则及防治技术。</w:t>
      </w:r>
    </w:p>
    <w:p>
      <w:pPr>
        <w:pStyle w:val="56"/>
        <w:ind w:firstLine="420"/>
      </w:pPr>
      <w:r>
        <w:rPr>
          <w:rFonts w:hint="eastAsia"/>
        </w:rPr>
        <w:t>本</w:t>
      </w:r>
      <w:r>
        <w:t>文件</w:t>
      </w:r>
      <w:r>
        <w:rPr>
          <w:rFonts w:hint="eastAsia"/>
        </w:rPr>
        <w:t>适用于苹果园山楂叶螨的综合防治。</w:t>
      </w:r>
      <w:bookmarkStart w:id="38" w:name="_Toc24884219"/>
      <w:bookmarkStart w:id="39" w:name="_Toc17233326"/>
      <w:bookmarkStart w:id="40" w:name="_Toc17233334"/>
      <w:bookmarkStart w:id="41" w:name="_Toc24884212"/>
      <w:bookmarkStart w:id="42" w:name="_Toc26648466"/>
    </w:p>
    <w:p>
      <w:pPr>
        <w:pStyle w:val="104"/>
        <w:spacing w:before="312" w:after="312"/>
      </w:pPr>
      <w:bookmarkStart w:id="43" w:name="_Toc97191424"/>
      <w:bookmarkStart w:id="44" w:name="_Toc173510353"/>
      <w:bookmarkStart w:id="45" w:name="_Toc26718931"/>
      <w:bookmarkStart w:id="46" w:name="_Toc26986531"/>
      <w:bookmarkStart w:id="47" w:name="_Toc160707895"/>
      <w:bookmarkStart w:id="48" w:name="_Toc26986772"/>
      <w:bookmarkStart w:id="49" w:name="_Toc160707852"/>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F94217CABA6E42EAA2BAF25AF9AA204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w:t>
      </w:r>
      <w:r>
        <w:t>B</w:t>
      </w:r>
      <w:r>
        <w:rPr>
          <w:rFonts w:hint="eastAsia"/>
        </w:rPr>
        <w:t>/</w:t>
      </w:r>
      <w:r>
        <w:t>T 8321(</w:t>
      </w:r>
      <w:r>
        <w:rPr>
          <w:rFonts w:hint="eastAsia"/>
        </w:rPr>
        <w:t>所</w:t>
      </w:r>
      <w:r>
        <w:t>有部分</w:t>
      </w:r>
      <w:r>
        <w:rPr>
          <w:rFonts w:hint="eastAsia"/>
        </w:rPr>
        <w:t>)农业</w:t>
      </w:r>
      <w:r>
        <w:t>合理使用准则</w:t>
      </w:r>
    </w:p>
    <w:p>
      <w:pPr>
        <w:pStyle w:val="56"/>
        <w:ind w:firstLine="420"/>
      </w:pPr>
      <w:r>
        <w:rPr>
          <w:rFonts w:hint="eastAsia"/>
        </w:rPr>
        <w:t>N</w:t>
      </w:r>
      <w:r>
        <w:t>Y</w:t>
      </w:r>
      <w:r>
        <w:rPr>
          <w:rFonts w:hint="eastAsia"/>
        </w:rPr>
        <w:t>/</w:t>
      </w:r>
      <w:r>
        <w:t xml:space="preserve">T 1276 </w:t>
      </w:r>
      <w:r>
        <w:rPr>
          <w:rFonts w:hint="eastAsia"/>
        </w:rPr>
        <w:t>农业</w:t>
      </w:r>
      <w:r>
        <w:t>安全使用规范</w:t>
      </w:r>
      <w:r>
        <w:rPr>
          <w:rFonts w:hint="eastAsia"/>
        </w:rPr>
        <w:t xml:space="preserve"> 总则</w:t>
      </w:r>
    </w:p>
    <w:p>
      <w:pPr>
        <w:pStyle w:val="56"/>
        <w:ind w:firstLine="420"/>
      </w:pPr>
      <w:r>
        <w:rPr>
          <w:rFonts w:hint="eastAsia"/>
        </w:rPr>
        <w:t>D</w:t>
      </w:r>
      <w:r>
        <w:t>B14</w:t>
      </w:r>
      <w:r>
        <w:rPr>
          <w:rFonts w:hint="eastAsia"/>
        </w:rPr>
        <w:t>/T 141 苹果园</w:t>
      </w:r>
      <w:r>
        <w:t>山楂叶螨</w:t>
      </w:r>
      <w:r>
        <w:rPr>
          <w:rFonts w:hint="eastAsia"/>
        </w:rPr>
        <w:t>测报调查</w:t>
      </w:r>
      <w:r>
        <w:t>规范</w:t>
      </w:r>
    </w:p>
    <w:p>
      <w:pPr>
        <w:pStyle w:val="104"/>
        <w:spacing w:before="312" w:after="312"/>
      </w:pPr>
      <w:bookmarkStart w:id="50" w:name="_Toc97191425"/>
      <w:bookmarkStart w:id="51" w:name="_Toc173510354"/>
      <w:bookmarkStart w:id="52" w:name="_Toc160707853"/>
      <w:bookmarkStart w:id="53" w:name="_Toc160707896"/>
      <w:r>
        <w:rPr>
          <w:rFonts w:hint="eastAsia"/>
          <w:szCs w:val="21"/>
        </w:rPr>
        <w:t>术语和定义</w:t>
      </w:r>
      <w:bookmarkEnd w:id="50"/>
      <w:bookmarkEnd w:id="51"/>
      <w:bookmarkEnd w:id="52"/>
      <w:bookmarkEnd w:id="53"/>
    </w:p>
    <w:p>
      <w:pPr>
        <w:pStyle w:val="56"/>
        <w:ind w:firstLine="420"/>
      </w:pPr>
      <w:bookmarkStart w:id="54" w:name="_Toc26986532"/>
      <w:bookmarkEnd w:id="54"/>
      <w:sdt>
        <w:sdtPr>
          <w:id w:val="-1909835108"/>
          <w:placeholder>
            <w:docPart w:val="0A916B425F724EBD8AC870C1659832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p>
    <w:p>
      <w:pPr>
        <w:pStyle w:val="105"/>
        <w:spacing w:before="156" w:after="156"/>
      </w:pPr>
    </w:p>
    <w:p>
      <w:pPr>
        <w:pStyle w:val="105"/>
        <w:numPr>
          <w:ilvl w:val="0"/>
          <w:numId w:val="0"/>
        </w:numPr>
        <w:spacing w:before="156" w:after="156"/>
        <w:ind w:firstLine="420" w:firstLineChars="200"/>
      </w:pPr>
      <w:r>
        <w:t>山楂叶螨</w:t>
      </w:r>
    </w:p>
    <w:p>
      <w:pPr>
        <w:pStyle w:val="56"/>
        <w:ind w:firstLine="420"/>
      </w:pPr>
      <w:r>
        <w:rPr>
          <w:rFonts w:hint="eastAsia"/>
        </w:rPr>
        <w:t>山楂叶螨</w:t>
      </w:r>
      <w:r>
        <w:t>（</w:t>
      </w:r>
      <w:r>
        <w:rPr>
          <w:rFonts w:hAnsi="宋体"/>
          <w:i/>
        </w:rPr>
        <w:t>Tetranychus viennensis</w:t>
      </w:r>
      <w:r>
        <w:rPr>
          <w:rFonts w:hAnsi="宋体"/>
        </w:rPr>
        <w:t xml:space="preserve"> Zacher</w:t>
      </w:r>
      <w:r>
        <w:t>），</w:t>
      </w:r>
      <w:r>
        <w:rPr>
          <w:rFonts w:hint="eastAsia" w:hAnsi="宋体"/>
        </w:rPr>
        <w:t>属蛛形纲（Arachnida），蜱螨目（Acarina），叶螨科（Tetranychidae），别名山楂红蜘蛛、樱桃红蜘蛛。该害螨广泛分布于落叶果区，主要危害苹果、桃、山楂等多种果树。识别特征见附录A。</w:t>
      </w:r>
    </w:p>
    <w:p>
      <w:pPr>
        <w:pStyle w:val="104"/>
        <w:spacing w:before="312" w:after="312"/>
      </w:pPr>
      <w:bookmarkStart w:id="55" w:name="_Toc160707897"/>
      <w:bookmarkStart w:id="56" w:name="_Toc160707854"/>
      <w:bookmarkStart w:id="57" w:name="_Toc173510355"/>
      <w:r>
        <w:rPr>
          <w:rFonts w:hint="eastAsia"/>
        </w:rPr>
        <w:t>防治原则</w:t>
      </w:r>
      <w:bookmarkEnd w:id="55"/>
      <w:bookmarkEnd w:id="56"/>
      <w:bookmarkEnd w:id="57"/>
    </w:p>
    <w:p>
      <w:pPr>
        <w:pStyle w:val="56"/>
        <w:ind w:firstLine="420"/>
      </w:pPr>
      <w:r>
        <w:rPr>
          <w:rFonts w:hint="eastAsia"/>
        </w:rPr>
        <w:t>坚持“</w:t>
      </w:r>
      <w:r>
        <w:t>预防为主，综合防治</w:t>
      </w:r>
      <w:r>
        <w:rPr>
          <w:rFonts w:hint="eastAsia"/>
        </w:rPr>
        <w:t>”</w:t>
      </w:r>
      <w:r>
        <w:t>的方针，以</w:t>
      </w:r>
      <w:r>
        <w:rPr>
          <w:rFonts w:hint="eastAsia"/>
        </w:rPr>
        <w:t>“</w:t>
      </w:r>
      <w:r>
        <w:t>压低越冬代基数，抓住关键期化学防治</w:t>
      </w:r>
      <w:r>
        <w:rPr>
          <w:rFonts w:hint="eastAsia"/>
        </w:rPr>
        <w:t>”</w:t>
      </w:r>
      <w:r>
        <w:t>为防治原则。选用高效、低毒、低残留的化学农药，优先选用生态或生物措施。</w:t>
      </w:r>
    </w:p>
    <w:p>
      <w:pPr>
        <w:pStyle w:val="104"/>
        <w:spacing w:before="312" w:after="312"/>
      </w:pPr>
      <w:bookmarkStart w:id="58" w:name="_Toc160707855"/>
      <w:bookmarkStart w:id="59" w:name="_Toc173510356"/>
      <w:bookmarkStart w:id="60" w:name="_Toc160707898"/>
      <w:r>
        <w:rPr>
          <w:rFonts w:hint="eastAsia"/>
        </w:rPr>
        <w:t>防治技术</w:t>
      </w:r>
      <w:bookmarkEnd w:id="58"/>
      <w:bookmarkEnd w:id="59"/>
      <w:bookmarkEnd w:id="60"/>
    </w:p>
    <w:p>
      <w:pPr>
        <w:pStyle w:val="105"/>
        <w:spacing w:before="156" w:after="156"/>
      </w:pPr>
      <w:r>
        <w:rPr>
          <w:rFonts w:hint="eastAsia"/>
        </w:rPr>
        <w:t>农业防治</w:t>
      </w:r>
    </w:p>
    <w:p>
      <w:pPr>
        <w:pStyle w:val="65"/>
        <w:spacing w:before="156" w:after="156"/>
      </w:pPr>
      <w:r>
        <w:rPr>
          <w:rFonts w:hint="eastAsia"/>
        </w:rPr>
        <w:t>深翻培土</w:t>
      </w:r>
    </w:p>
    <w:p>
      <w:pPr>
        <w:pStyle w:val="56"/>
        <w:ind w:firstLine="420"/>
        <w:rPr>
          <w:rFonts w:ascii="Times New Roman"/>
        </w:rPr>
      </w:pPr>
      <w:r>
        <w:rPr>
          <w:rFonts w:hint="eastAsia"/>
        </w:rPr>
        <w:t>在苹果树休眠期</w:t>
      </w:r>
      <w:r>
        <w:t>，</w:t>
      </w:r>
      <w:r>
        <w:rPr>
          <w:rFonts w:hint="eastAsia"/>
        </w:rPr>
        <w:t>深翻树盘</w:t>
      </w:r>
      <w:r>
        <w:rPr>
          <w:rFonts w:ascii="Times New Roman"/>
        </w:rPr>
        <w:t>基部土壤</w:t>
      </w:r>
      <w:r>
        <w:rPr>
          <w:rFonts w:hint="eastAsia" w:ascii="Times New Roman"/>
        </w:rPr>
        <w:t>；</w:t>
      </w:r>
      <w:r>
        <w:rPr>
          <w:rFonts w:ascii="Times New Roman"/>
        </w:rPr>
        <w:t>在土壤解冻初期于树干基部培土并拍实，封闭根茎部位土壤缝隙，防止越冬螨出蛰上树</w:t>
      </w:r>
      <w:r>
        <w:rPr>
          <w:rFonts w:hint="eastAsia" w:ascii="Times New Roman"/>
        </w:rPr>
        <w:t>。</w:t>
      </w:r>
    </w:p>
    <w:p>
      <w:pPr>
        <w:pStyle w:val="65"/>
        <w:spacing w:before="156" w:after="156"/>
      </w:pPr>
      <w:r>
        <w:rPr>
          <w:rFonts w:hint="eastAsia"/>
        </w:rPr>
        <w:t>刮治翘皮</w:t>
      </w:r>
    </w:p>
    <w:p>
      <w:pPr>
        <w:pStyle w:val="56"/>
        <w:ind w:firstLine="420"/>
        <w:rPr>
          <w:rFonts w:ascii="Times New Roman"/>
        </w:rPr>
      </w:pPr>
      <w:r>
        <w:rPr>
          <w:rFonts w:hint="eastAsia"/>
        </w:rPr>
        <w:t>早春萌芽</w:t>
      </w:r>
      <w:r>
        <w:t>前</w:t>
      </w:r>
      <w:r>
        <w:rPr>
          <w:rFonts w:hint="eastAsia"/>
        </w:rPr>
        <w:t>，</w:t>
      </w:r>
      <w:r>
        <w:rPr>
          <w:rFonts w:hint="eastAsia" w:ascii="Times New Roman"/>
        </w:rPr>
        <w:t>用刮刀</w:t>
      </w:r>
      <w:r>
        <w:rPr>
          <w:rFonts w:hint="eastAsia"/>
        </w:rPr>
        <w:t>等</w:t>
      </w:r>
      <w:r>
        <w:t>专业工具</w:t>
      </w:r>
      <w:r>
        <w:rPr>
          <w:rFonts w:ascii="Times New Roman"/>
        </w:rPr>
        <w:t>彻底刮除</w:t>
      </w:r>
      <w:r>
        <w:rPr>
          <w:rFonts w:hint="eastAsia" w:ascii="Times New Roman"/>
        </w:rPr>
        <w:t>主枝分叉以上的老粗皮及剪锯口等处的翘皮。刮皮时，要掌握轻刮浅刮，以见到黄绿相间的树皮为准，不伤及韧皮部，并在树下铺塑料布，用于收集刮下来的树皮，带出园地深埋。</w:t>
      </w:r>
    </w:p>
    <w:p>
      <w:pPr>
        <w:pStyle w:val="65"/>
        <w:spacing w:before="156" w:after="156"/>
      </w:pPr>
      <w:r>
        <w:rPr>
          <w:rFonts w:hint="eastAsia"/>
        </w:rPr>
        <w:t>清洁果园</w:t>
      </w:r>
    </w:p>
    <w:p>
      <w:pPr>
        <w:pStyle w:val="56"/>
        <w:ind w:firstLine="420"/>
        <w:rPr>
          <w:rFonts w:ascii="Times New Roman"/>
        </w:rPr>
      </w:pPr>
      <w:r>
        <w:rPr>
          <w:rFonts w:hint="eastAsia"/>
        </w:rPr>
        <w:t>剪除</w:t>
      </w:r>
      <w:r>
        <w:rPr>
          <w:rFonts w:hint="eastAsia" w:ascii="Times New Roman"/>
        </w:rPr>
        <w:t>病虫枯枝；</w:t>
      </w:r>
      <w:r>
        <w:rPr>
          <w:rFonts w:ascii="Times New Roman"/>
        </w:rPr>
        <w:t>清扫苹果园中的枯枝落叶</w:t>
      </w:r>
      <w:r>
        <w:rPr>
          <w:rFonts w:hint="eastAsia" w:ascii="Times New Roman"/>
        </w:rPr>
        <w:t>及杂草</w:t>
      </w:r>
      <w:r>
        <w:rPr>
          <w:rFonts w:ascii="Times New Roman"/>
        </w:rPr>
        <w:t>，</w:t>
      </w:r>
      <w:r>
        <w:rPr>
          <w:rFonts w:hint="eastAsia" w:ascii="Times New Roman"/>
        </w:rPr>
        <w:t>带出园外</w:t>
      </w:r>
      <w:r>
        <w:rPr>
          <w:rFonts w:ascii="Times New Roman"/>
        </w:rPr>
        <w:t>集中深埋</w:t>
      </w:r>
      <w:r>
        <w:rPr>
          <w:rFonts w:hint="eastAsia" w:ascii="Times New Roman"/>
        </w:rPr>
        <w:t>。</w:t>
      </w:r>
    </w:p>
    <w:p>
      <w:pPr>
        <w:pStyle w:val="105"/>
        <w:spacing w:before="156" w:after="156"/>
      </w:pPr>
      <w:r>
        <w:rPr>
          <w:rFonts w:hint="eastAsia"/>
        </w:rPr>
        <w:t>物理防治</w:t>
      </w:r>
    </w:p>
    <w:p>
      <w:pPr>
        <w:pStyle w:val="65"/>
        <w:spacing w:before="156" w:after="156"/>
      </w:pPr>
      <w:r>
        <w:rPr>
          <w:rFonts w:hint="eastAsia"/>
        </w:rPr>
        <w:t>草把诱杀</w:t>
      </w:r>
    </w:p>
    <w:p>
      <w:pPr>
        <w:pStyle w:val="56"/>
        <w:ind w:firstLine="420"/>
      </w:pPr>
      <w:r>
        <w:rPr>
          <w:rFonts w:hint="eastAsia"/>
        </w:rPr>
        <w:t>果实着色</w:t>
      </w:r>
      <w:r>
        <w:t>期</w:t>
      </w:r>
      <w:r>
        <w:rPr>
          <w:rFonts w:hint="eastAsia"/>
        </w:rPr>
        <w:t>，</w:t>
      </w:r>
      <w:r>
        <w:t>在苹果树干上绑缚草把诱集越冬雌成螨。用稻草、麦草等拧成草束，在果树</w:t>
      </w:r>
      <w:r>
        <w:rPr>
          <w:rFonts w:hint="eastAsia"/>
        </w:rPr>
        <w:t>主干</w:t>
      </w:r>
      <w:r>
        <w:t>距分杈20 cm处或主侧枝基部上缠绕3</w:t>
      </w:r>
      <w:r>
        <w:rPr>
          <w:rFonts w:hint="eastAsia"/>
        </w:rPr>
        <w:t>圈</w:t>
      </w:r>
      <w:r>
        <w:t>～5圈，草把要上松下紧，待翌年出蛰前将草把解下，集中</w:t>
      </w:r>
      <w:r>
        <w:rPr>
          <w:rFonts w:hint="eastAsia"/>
        </w:rPr>
        <w:t>杀灭</w:t>
      </w:r>
      <w:r>
        <w:t>。</w:t>
      </w:r>
    </w:p>
    <w:p>
      <w:pPr>
        <w:pStyle w:val="65"/>
        <w:spacing w:before="156" w:after="156"/>
      </w:pPr>
      <w:r>
        <w:rPr>
          <w:rFonts w:hint="eastAsia"/>
        </w:rPr>
        <w:t>树干涂白</w:t>
      </w:r>
    </w:p>
    <w:p>
      <w:pPr>
        <w:pStyle w:val="56"/>
        <w:ind w:firstLine="420"/>
        <w:rPr>
          <w:rFonts w:ascii="Times New Roman"/>
        </w:rPr>
      </w:pPr>
      <w:r>
        <w:rPr>
          <w:rFonts w:hint="eastAsia"/>
        </w:rPr>
        <w:t>冬季</w:t>
      </w:r>
      <w:r>
        <w:rPr>
          <w:rFonts w:ascii="Times New Roman"/>
        </w:rPr>
        <w:t>在苹果树干上涂白。第一次在果树落叶后至土壤结冻前涂白，第二次在翌年的初春时涂白。涂白剂</w:t>
      </w:r>
      <w:r>
        <w:rPr>
          <w:rFonts w:hint="eastAsia" w:hAnsi="宋体"/>
        </w:rPr>
        <w:t>由</w:t>
      </w:r>
      <w:r>
        <w:rPr>
          <w:rFonts w:hAnsi="宋体"/>
        </w:rPr>
        <w:t>生石灰</w:t>
      </w:r>
      <w:r>
        <w:rPr>
          <w:rFonts w:hint="eastAsia" w:hAnsi="宋体"/>
        </w:rPr>
        <w:t>、20波美度</w:t>
      </w:r>
      <w:r>
        <w:rPr>
          <w:rFonts w:hAnsi="宋体"/>
        </w:rPr>
        <w:t>石硫合剂</w:t>
      </w:r>
      <w:r>
        <w:rPr>
          <w:rFonts w:hint="eastAsia" w:hAnsi="宋体"/>
        </w:rPr>
        <w:t>、</w:t>
      </w:r>
      <w:r>
        <w:rPr>
          <w:rFonts w:hAnsi="宋体"/>
        </w:rPr>
        <w:t>食盐、</w:t>
      </w:r>
      <w:r>
        <w:rPr>
          <w:rFonts w:hint="eastAsia" w:hAnsi="宋体"/>
        </w:rPr>
        <w:t>清水按照6:1:1:10比例制成</w:t>
      </w:r>
      <w:r>
        <w:rPr>
          <w:rFonts w:hAnsi="宋体"/>
        </w:rPr>
        <w:t>。</w:t>
      </w:r>
    </w:p>
    <w:p>
      <w:pPr>
        <w:pStyle w:val="105"/>
        <w:spacing w:before="156" w:after="156"/>
      </w:pPr>
      <w:r>
        <w:rPr>
          <w:rFonts w:hint="eastAsia"/>
        </w:rPr>
        <w:t>生物防治</w:t>
      </w:r>
    </w:p>
    <w:p>
      <w:pPr>
        <w:pStyle w:val="56"/>
        <w:ind w:firstLine="420"/>
      </w:pPr>
      <w:r>
        <w:rPr>
          <w:rFonts w:hint="eastAsia"/>
        </w:rPr>
        <w:t>在苹果园内种植</w:t>
      </w:r>
      <w:r>
        <w:t>三叶草、毛叶苕子、黑麦草</w:t>
      </w:r>
      <w:r>
        <w:rPr>
          <w:rFonts w:hint="eastAsia"/>
        </w:rPr>
        <w:t>、</w:t>
      </w:r>
      <w:r>
        <w:t>野豌豆等绿肥作物</w:t>
      </w:r>
      <w:r>
        <w:rPr>
          <w:rFonts w:hint="eastAsia"/>
        </w:rPr>
        <w:t>，或自然生草，增加山楂叶螨天敌小花蝽、小黑瓢虫、捕食螨和草蛉等的数量，以虫</w:t>
      </w:r>
      <w:r>
        <w:t>治</w:t>
      </w:r>
      <w:r>
        <w:rPr>
          <w:rFonts w:hint="eastAsia"/>
        </w:rPr>
        <w:t>螨</w:t>
      </w:r>
      <w:r>
        <w:t>。</w:t>
      </w:r>
    </w:p>
    <w:p>
      <w:pPr>
        <w:pStyle w:val="105"/>
        <w:spacing w:before="156" w:after="156"/>
      </w:pPr>
      <w:r>
        <w:rPr>
          <w:rFonts w:hint="eastAsia"/>
        </w:rPr>
        <w:t>化学防治</w:t>
      </w:r>
    </w:p>
    <w:p>
      <w:pPr>
        <w:pStyle w:val="65"/>
        <w:spacing w:before="156" w:after="156"/>
      </w:pPr>
      <w:r>
        <w:rPr>
          <w:rFonts w:hint="eastAsia"/>
        </w:rPr>
        <w:t>防治适</w:t>
      </w:r>
      <w:r>
        <w:t>期</w:t>
      </w:r>
    </w:p>
    <w:p>
      <w:pPr>
        <w:pStyle w:val="56"/>
        <w:ind w:firstLine="420"/>
      </w:pPr>
      <w:r>
        <w:rPr>
          <w:rFonts w:hint="eastAsia"/>
        </w:rPr>
        <w:t>苹果花后</w:t>
      </w:r>
      <w:r>
        <w:t>7 d～10</w:t>
      </w:r>
      <w:r>
        <w:rPr>
          <w:rFonts w:hint="eastAsia"/>
        </w:rPr>
        <w:t xml:space="preserve"> </w:t>
      </w:r>
      <w:r>
        <w:t>d 越冬代雌成螨产卵的孵化盛期</w:t>
      </w:r>
      <w:r>
        <w:rPr>
          <w:rFonts w:hint="eastAsia"/>
        </w:rPr>
        <w:t>，</w:t>
      </w:r>
      <w:r>
        <w:t>苹果套袋前第一代成螨发生期，6</w:t>
      </w:r>
      <w:r>
        <w:rPr>
          <w:rFonts w:hint="eastAsia"/>
        </w:rPr>
        <w:t>月-8</w:t>
      </w:r>
      <w:r>
        <w:t>月上旬全年为害盛期，为药剂防治的3个关键期。</w:t>
      </w:r>
    </w:p>
    <w:p>
      <w:pPr>
        <w:pStyle w:val="65"/>
        <w:spacing w:before="156" w:after="156"/>
      </w:pPr>
      <w:r>
        <w:rPr>
          <w:rFonts w:hint="eastAsia"/>
        </w:rPr>
        <w:t>防治指标</w:t>
      </w:r>
    </w:p>
    <w:p>
      <w:pPr>
        <w:pStyle w:val="56"/>
        <w:ind w:firstLine="420"/>
        <w:rPr>
          <w:rFonts w:hAnsi="宋体"/>
        </w:rPr>
      </w:pPr>
      <w:r>
        <w:rPr>
          <w:rFonts w:hint="eastAsia"/>
        </w:rPr>
        <w:t>苹果树</w:t>
      </w:r>
      <w:r>
        <w:rPr>
          <w:rFonts w:hAnsi="宋体"/>
        </w:rPr>
        <w:t>花露红期，平均活螨数达到每花芽上2</w:t>
      </w:r>
      <w:r>
        <w:rPr>
          <w:rFonts w:hint="eastAsia" w:hAnsi="宋体"/>
        </w:rPr>
        <w:t>头</w:t>
      </w:r>
      <w:r>
        <w:rPr>
          <w:rFonts w:hAnsi="宋体"/>
        </w:rPr>
        <w:t>～</w:t>
      </w:r>
      <w:r>
        <w:rPr>
          <w:rFonts w:hint="eastAsia" w:hAnsi="宋体"/>
        </w:rPr>
        <w:t>3</w:t>
      </w:r>
      <w:r>
        <w:rPr>
          <w:rFonts w:hAnsi="宋体"/>
        </w:rPr>
        <w:t>头，或落花后平均每叶上4</w:t>
      </w:r>
      <w:r>
        <w:rPr>
          <w:rFonts w:hint="eastAsia" w:hAnsi="宋体"/>
        </w:rPr>
        <w:t>头</w:t>
      </w:r>
      <w:r>
        <w:rPr>
          <w:rFonts w:hAnsi="宋体"/>
        </w:rPr>
        <w:t>～</w:t>
      </w:r>
      <w:r>
        <w:rPr>
          <w:rFonts w:hint="eastAsia" w:hAnsi="宋体"/>
        </w:rPr>
        <w:t>5</w:t>
      </w:r>
      <w:r>
        <w:rPr>
          <w:rFonts w:hAnsi="宋体"/>
        </w:rPr>
        <w:t>头。活螨数调查方法按照DB14/T 141-2019</w:t>
      </w:r>
      <w:r>
        <w:rPr>
          <w:rFonts w:hint="eastAsia" w:hAnsi="宋体"/>
        </w:rPr>
        <w:t>中系统调查的</w:t>
      </w:r>
      <w:r>
        <w:rPr>
          <w:rFonts w:hAnsi="宋体"/>
        </w:rPr>
        <w:t>规定执行</w:t>
      </w:r>
      <w:r>
        <w:rPr>
          <w:rFonts w:hint="eastAsia" w:hAnsi="宋体"/>
        </w:rPr>
        <w:t>。</w:t>
      </w:r>
    </w:p>
    <w:p>
      <w:pPr>
        <w:pStyle w:val="65"/>
        <w:spacing w:before="156" w:after="156"/>
      </w:pPr>
      <w:r>
        <w:rPr>
          <w:rFonts w:hint="eastAsia"/>
        </w:rPr>
        <w:t>化学药剂</w:t>
      </w:r>
    </w:p>
    <w:p>
      <w:pPr>
        <w:pStyle w:val="56"/>
        <w:ind w:firstLine="420"/>
      </w:pPr>
      <w:r>
        <w:rPr>
          <w:rFonts w:hint="eastAsia"/>
        </w:rPr>
        <w:t>选用</w:t>
      </w:r>
      <w:r>
        <w:t>15%哒螨灵乳油</w:t>
      </w:r>
      <w:r>
        <w:rPr>
          <w:rFonts w:hint="eastAsia"/>
        </w:rPr>
        <w:t>或43</w:t>
      </w:r>
      <w:r>
        <w:t>%联苯肼酯</w:t>
      </w:r>
      <w:r>
        <w:rPr>
          <w:rFonts w:hint="eastAsia"/>
        </w:rPr>
        <w:t>悬浮剂等进行防治。推荐</w:t>
      </w:r>
      <w:r>
        <w:t>农药</w:t>
      </w:r>
      <w:r>
        <w:rPr>
          <w:rFonts w:hint="eastAsia"/>
        </w:rPr>
        <w:t>种类及</w:t>
      </w:r>
      <w:r>
        <w:t>用量见</w:t>
      </w:r>
      <w:r>
        <w:rPr>
          <w:rFonts w:hint="eastAsia"/>
        </w:rPr>
        <w:t>附录B。农药使用按照</w:t>
      </w:r>
      <w:r>
        <w:t>GB/T 8321</w:t>
      </w:r>
      <w:r>
        <w:rPr>
          <w:rFonts w:hint="eastAsia"/>
        </w:rPr>
        <w:t>（所有部分）、</w:t>
      </w:r>
      <w:r>
        <w:t>NY/T 1276</w:t>
      </w:r>
      <w:r>
        <w:rPr>
          <w:rFonts w:hint="eastAsia"/>
        </w:rPr>
        <w:t>的</w:t>
      </w:r>
      <w:r>
        <w:t>规定</w:t>
      </w:r>
      <w:r>
        <w:rPr>
          <w:rFonts w:hint="eastAsia"/>
        </w:rPr>
        <w:t>执行。应遵守</w:t>
      </w:r>
      <w:r>
        <w:t>药剂安全</w:t>
      </w:r>
      <w:r>
        <w:rPr>
          <w:rFonts w:hint="eastAsia"/>
        </w:rPr>
        <w:t>间隔期；施药时</w:t>
      </w:r>
      <w:r>
        <w:t>做好安全防护</w:t>
      </w:r>
      <w:r>
        <w:rPr>
          <w:rFonts w:hint="eastAsia"/>
        </w:rPr>
        <w:t>；</w:t>
      </w:r>
      <w:r>
        <w:rPr>
          <w:rFonts w:hint="eastAsia" w:ascii="Times New Roman"/>
        </w:rPr>
        <w:t>喷药时</w:t>
      </w:r>
      <w:r>
        <w:rPr>
          <w:rFonts w:hint="eastAsia" w:hAnsi="宋体"/>
        </w:rPr>
        <w:t>注意喷洒均匀，喷药后如遇降雨影响防治效果，应进行补喷。</w:t>
      </w:r>
    </w:p>
    <w:p>
      <w:pPr>
        <w:pStyle w:val="104"/>
        <w:spacing w:before="312" w:after="312"/>
      </w:pPr>
      <w:bookmarkStart w:id="61" w:name="_Toc160707856"/>
      <w:bookmarkStart w:id="62" w:name="_Toc173510357"/>
      <w:bookmarkStart w:id="63" w:name="_Toc160707899"/>
      <w:r>
        <w:rPr>
          <w:rFonts w:hint="eastAsia"/>
        </w:rPr>
        <w:t>安全生产管理</w:t>
      </w:r>
      <w:r>
        <w:t>档案</w:t>
      </w:r>
      <w:bookmarkEnd w:id="61"/>
      <w:bookmarkEnd w:id="62"/>
      <w:bookmarkEnd w:id="63"/>
    </w:p>
    <w:p>
      <w:pPr>
        <w:pStyle w:val="56"/>
        <w:ind w:firstLine="420"/>
      </w:pPr>
      <w:r>
        <w:rPr>
          <w:rFonts w:hint="eastAsia"/>
        </w:rPr>
        <w:t>生产过程中应建立农药使用</w:t>
      </w:r>
      <w:r>
        <w:t>档案</w:t>
      </w:r>
      <w:r>
        <w:rPr>
          <w:rFonts w:hint="eastAsia"/>
        </w:rPr>
        <w:t>，</w:t>
      </w:r>
      <w:r>
        <w:t>记录内容</w:t>
      </w:r>
      <w:r>
        <w:rPr>
          <w:rFonts w:hint="eastAsia"/>
        </w:rPr>
        <w:t>见附录C。记录保存2年以上。</w:t>
      </w:r>
    </w:p>
    <w:p>
      <w:pPr>
        <w:pStyle w:val="56"/>
        <w:ind w:firstLine="420"/>
      </w:pPr>
    </w:p>
    <w:bookmarkEnd w:id="24"/>
    <w:p>
      <w:pPr>
        <w:pStyle w:val="198"/>
        <w:rPr>
          <w:vanish w:val="0"/>
        </w:rPr>
      </w:pPr>
      <w:bookmarkStart w:id="64" w:name="BookMark5"/>
    </w:p>
    <w:p>
      <w:pPr>
        <w:pStyle w:val="199"/>
        <w:rPr>
          <w:vanish w:val="0"/>
        </w:rPr>
      </w:pPr>
    </w:p>
    <w:p>
      <w:pPr>
        <w:pStyle w:val="76"/>
        <w:spacing w:after="156"/>
      </w:pPr>
      <w:r>
        <w:br w:type="textWrapping"/>
      </w:r>
      <w:bookmarkStart w:id="65" w:name="_Toc160707900"/>
      <w:bookmarkStart w:id="66" w:name="_Toc160707857"/>
      <w:bookmarkStart w:id="67" w:name="_Toc173510358"/>
      <w:r>
        <w:rPr>
          <w:rFonts w:hint="eastAsia"/>
        </w:rPr>
        <w:t>（资料性）</w:t>
      </w:r>
      <w:r>
        <w:br w:type="textWrapping"/>
      </w:r>
      <w:r>
        <w:rPr>
          <w:rFonts w:hint="eastAsia"/>
        </w:rPr>
        <w:t>山楂叶螨识别特征</w:t>
      </w:r>
      <w:bookmarkEnd w:id="65"/>
      <w:bookmarkEnd w:id="66"/>
      <w:bookmarkEnd w:id="67"/>
    </w:p>
    <w:p>
      <w:pPr>
        <w:pStyle w:val="79"/>
        <w:numPr>
          <w:ilvl w:val="0"/>
          <w:numId w:val="0"/>
        </w:numPr>
        <w:spacing w:before="156" w:after="156"/>
      </w:pPr>
      <w:bookmarkStart w:id="68" w:name="_Toc129799834"/>
      <w:bookmarkStart w:id="69" w:name="_Toc160707858"/>
      <w:r>
        <w:rPr>
          <w:rFonts w:hint="eastAsia"/>
        </w:rPr>
        <w:t>A.1成螨</w:t>
      </w:r>
      <w:bookmarkEnd w:id="68"/>
      <w:bookmarkEnd w:id="69"/>
    </w:p>
    <w:p>
      <w:pPr>
        <w:pStyle w:val="56"/>
        <w:ind w:firstLine="420"/>
      </w:pPr>
      <w:r>
        <w:rPr>
          <w:rFonts w:hint="eastAsia"/>
        </w:rPr>
        <w:t>雌成螨</w:t>
      </w:r>
      <w:r>
        <w:t>体长0.53 mm，宽约0.32 mm，长圆形，体背有26</w:t>
      </w:r>
      <w:r>
        <w:rPr>
          <w:rFonts w:hint="eastAsia"/>
          <w:vertAlign w:val="superscript"/>
        </w:rPr>
        <w:t xml:space="preserve"> </w:t>
      </w:r>
      <w:r>
        <w:t>根刚毛，分成6</w:t>
      </w:r>
      <w:r>
        <w:rPr>
          <w:rFonts w:hint="eastAsia"/>
          <w:vertAlign w:val="superscript"/>
        </w:rPr>
        <w:t xml:space="preserve"> </w:t>
      </w:r>
      <w:r>
        <w:t>排；4</w:t>
      </w:r>
      <w:r>
        <w:rPr>
          <w:rFonts w:hint="eastAsia"/>
          <w:vertAlign w:val="superscript"/>
        </w:rPr>
        <w:t xml:space="preserve"> </w:t>
      </w:r>
      <w:r>
        <w:t>对足，淡黄色，长度比体长短。越冬型雌成螨朱红色，有绢丝光泽；夏型雌成螨红色至暗红色。雄成螨体长0.45 mm，宽0.25 mm，从第3对足基部起向后方逐渐变细，末端尖削，体背两侧有黑绿色斑纹。</w:t>
      </w:r>
    </w:p>
    <w:p>
      <w:pPr>
        <w:pStyle w:val="79"/>
        <w:numPr>
          <w:ilvl w:val="0"/>
          <w:numId w:val="0"/>
        </w:numPr>
        <w:spacing w:before="156" w:after="156"/>
      </w:pPr>
      <w:bookmarkStart w:id="70" w:name="_Toc129799835"/>
      <w:r>
        <w:rPr>
          <w:rFonts w:hint="eastAsia"/>
        </w:rPr>
        <w:t>A.2</w:t>
      </w:r>
      <w:r>
        <w:t xml:space="preserve"> </w:t>
      </w:r>
      <w:r>
        <w:rPr>
          <w:rFonts w:hint="eastAsia"/>
        </w:rPr>
        <w:t>卵</w:t>
      </w:r>
      <w:bookmarkEnd w:id="70"/>
    </w:p>
    <w:p>
      <w:pPr>
        <w:pStyle w:val="56"/>
        <w:ind w:firstLine="420"/>
      </w:pPr>
      <w:r>
        <w:rPr>
          <w:rFonts w:hint="eastAsia"/>
        </w:rPr>
        <w:t>圆球形，雌螨前期产的卵橙红色，后期产的卵橙黄至黄白色。</w:t>
      </w:r>
    </w:p>
    <w:p>
      <w:pPr>
        <w:pStyle w:val="79"/>
        <w:numPr>
          <w:ilvl w:val="0"/>
          <w:numId w:val="0"/>
        </w:numPr>
        <w:spacing w:before="156" w:after="156"/>
      </w:pPr>
      <w:bookmarkStart w:id="71" w:name="_Toc129799836"/>
      <w:r>
        <w:rPr>
          <w:rFonts w:hint="eastAsia"/>
        </w:rPr>
        <w:t>A.3</w:t>
      </w:r>
      <w:r>
        <w:t xml:space="preserve"> </w:t>
      </w:r>
      <w:r>
        <w:rPr>
          <w:rFonts w:hint="eastAsia"/>
        </w:rPr>
        <w:t>幼螨</w:t>
      </w:r>
      <w:bookmarkEnd w:id="71"/>
    </w:p>
    <w:p>
      <w:pPr>
        <w:pStyle w:val="56"/>
        <w:ind w:firstLine="420"/>
      </w:pPr>
      <w:r>
        <w:t>初孵时圆形，黄白色，取食后渐变为卵圆形，淡绿色，3对足</w:t>
      </w:r>
      <w:r>
        <w:rPr>
          <w:rFonts w:hint="eastAsia"/>
        </w:rPr>
        <w:t>。</w:t>
      </w:r>
    </w:p>
    <w:p>
      <w:pPr>
        <w:pStyle w:val="79"/>
        <w:numPr>
          <w:ilvl w:val="0"/>
          <w:numId w:val="0"/>
        </w:numPr>
        <w:spacing w:before="156" w:after="156"/>
      </w:pPr>
      <w:bookmarkStart w:id="72" w:name="_Toc129799837"/>
      <w:r>
        <w:rPr>
          <w:rFonts w:hint="eastAsia"/>
        </w:rPr>
        <w:t>A.4</w:t>
      </w:r>
      <w:r>
        <w:t xml:space="preserve"> </w:t>
      </w:r>
      <w:r>
        <w:rPr>
          <w:rFonts w:hint="eastAsia"/>
        </w:rPr>
        <w:t>若螨</w:t>
      </w:r>
      <w:bookmarkEnd w:id="72"/>
    </w:p>
    <w:p>
      <w:pPr>
        <w:pStyle w:val="56"/>
        <w:ind w:firstLine="420"/>
      </w:pPr>
      <w:r>
        <w:t>4对足，前期体背开始出现刚毛，两侧露出明显的黑绿色斑纹，后期若螨个体较大，雌性后期若螨近似雌成螨，卵圆形，翡翠色，背部黑斑及明显，雄性身体末端较细。</w:t>
      </w:r>
    </w:p>
    <w:p>
      <w:pPr>
        <w:pStyle w:val="56"/>
        <w:ind w:firstLine="420"/>
        <w:sectPr>
          <w:footerReference r:id="rId14" w:type="default"/>
          <w:pgSz w:w="11906" w:h="16838"/>
          <w:pgMar w:top="1928" w:right="1134" w:bottom="1134" w:left="1134" w:header="1418" w:footer="1134" w:gutter="284"/>
          <w:pgNumType w:start="1"/>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73" w:name="_Toc160707901"/>
      <w:bookmarkStart w:id="74" w:name="_Toc160707859"/>
      <w:bookmarkStart w:id="75" w:name="_Toc173510359"/>
      <w:r>
        <w:rPr>
          <w:rFonts w:hint="eastAsia"/>
        </w:rPr>
        <w:t>（资料性）</w:t>
      </w:r>
      <w:r>
        <w:br w:type="textWrapping"/>
      </w:r>
      <w:r>
        <w:rPr>
          <w:rFonts w:hint="eastAsia"/>
        </w:rPr>
        <w:t>推荐使用的农药种类</w:t>
      </w:r>
      <w:bookmarkEnd w:id="73"/>
      <w:bookmarkEnd w:id="74"/>
      <w:bookmarkEnd w:id="75"/>
    </w:p>
    <w:p>
      <w:pPr>
        <w:pStyle w:val="56"/>
        <w:ind w:firstLine="420"/>
      </w:pPr>
      <w:r>
        <w:rPr>
          <w:rFonts w:hint="eastAsia"/>
        </w:rPr>
        <w:t>表B.1 列出了防治山楂叶螨的药剂及用量。</w:t>
      </w:r>
    </w:p>
    <w:p>
      <w:pPr>
        <w:pStyle w:val="77"/>
        <w:spacing w:before="156" w:after="156"/>
      </w:pPr>
      <w:r>
        <w:rPr>
          <w:rFonts w:hint="eastAsia"/>
        </w:rPr>
        <w:t>防治山楂</w:t>
      </w:r>
      <w:r>
        <w:t>叶螨的药剂及用</w:t>
      </w:r>
      <w:r>
        <w:rPr>
          <w:rFonts w:hint="eastAsia"/>
        </w:rPr>
        <w:t>量</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1986"/>
        <w:gridCol w:w="268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vAlign w:val="center"/>
          </w:tcPr>
          <w:p>
            <w:pPr>
              <w:pStyle w:val="178"/>
            </w:pPr>
            <w:r>
              <w:rPr>
                <w:rFonts w:hint="eastAsia"/>
              </w:rPr>
              <w:t>药剂名称</w:t>
            </w:r>
          </w:p>
        </w:tc>
        <w:tc>
          <w:tcPr>
            <w:tcW w:w="2333" w:type="dxa"/>
            <w:tcBorders>
              <w:top w:val="single" w:color="auto" w:sz="8" w:space="0"/>
              <w:bottom w:val="single" w:color="auto" w:sz="8" w:space="0"/>
            </w:tcBorders>
            <w:shd w:val="clear" w:color="auto" w:fill="auto"/>
            <w:vAlign w:val="center"/>
          </w:tcPr>
          <w:p>
            <w:pPr>
              <w:pStyle w:val="178"/>
            </w:pPr>
            <w:r>
              <w:rPr>
                <w:rFonts w:hint="eastAsia"/>
              </w:rPr>
              <w:t>用量</w:t>
            </w:r>
          </w:p>
        </w:tc>
        <w:tc>
          <w:tcPr>
            <w:tcW w:w="1986" w:type="dxa"/>
            <w:tcBorders>
              <w:top w:val="single" w:color="auto" w:sz="8" w:space="0"/>
              <w:bottom w:val="single" w:color="auto" w:sz="8" w:space="0"/>
            </w:tcBorders>
            <w:shd w:val="clear" w:color="auto" w:fill="auto"/>
            <w:vAlign w:val="center"/>
          </w:tcPr>
          <w:p>
            <w:pPr>
              <w:pStyle w:val="178"/>
            </w:pPr>
            <w:r>
              <w:rPr>
                <w:rFonts w:hint="eastAsia"/>
              </w:rPr>
              <w:t>安全间隔期（d）</w:t>
            </w:r>
          </w:p>
        </w:tc>
        <w:tc>
          <w:tcPr>
            <w:tcW w:w="2681" w:type="dxa"/>
            <w:tcBorders>
              <w:top w:val="single" w:color="auto" w:sz="8" w:space="0"/>
              <w:bottom w:val="single" w:color="auto" w:sz="8" w:space="0"/>
            </w:tcBorders>
            <w:shd w:val="clear" w:color="auto" w:fill="auto"/>
            <w:vAlign w:val="center"/>
          </w:tcPr>
          <w:p>
            <w:pPr>
              <w:pStyle w:val="56"/>
              <w:ind w:firstLine="0" w:firstLineChars="0"/>
              <w:jc w:val="center"/>
              <w:rPr>
                <w:sz w:val="18"/>
              </w:rPr>
            </w:pPr>
            <w:r>
              <w:rPr>
                <w:rFonts w:hint="eastAsia"/>
                <w:sz w:val="18"/>
              </w:rPr>
              <w:t>每生育期最大</w:t>
            </w:r>
            <w:r>
              <w:rPr>
                <w:sz w:val="18"/>
              </w:rPr>
              <w:t>使用次数</w:t>
            </w:r>
            <w:r>
              <w:rPr>
                <w:rFonts w:hint="eastAsia"/>
                <w:sz w:val="18"/>
              </w:rPr>
              <w:t>（次）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vAlign w:val="center"/>
          </w:tcPr>
          <w:p>
            <w:pPr>
              <w:pStyle w:val="178"/>
              <w:rPr>
                <w:szCs w:val="18"/>
              </w:rPr>
            </w:pPr>
            <w:r>
              <w:rPr>
                <w:szCs w:val="18"/>
              </w:rPr>
              <w:t>15%哒螨灵乳油</w:t>
            </w:r>
          </w:p>
        </w:tc>
        <w:tc>
          <w:tcPr>
            <w:tcW w:w="2333" w:type="dxa"/>
            <w:tcBorders>
              <w:top w:val="single" w:color="auto" w:sz="8" w:space="0"/>
            </w:tcBorders>
            <w:shd w:val="clear" w:color="auto" w:fill="auto"/>
            <w:vAlign w:val="center"/>
          </w:tcPr>
          <w:p>
            <w:pPr>
              <w:pStyle w:val="56"/>
              <w:ind w:firstLine="0" w:firstLineChars="0"/>
              <w:jc w:val="center"/>
              <w:rPr>
                <w:sz w:val="18"/>
                <w:szCs w:val="18"/>
              </w:rPr>
            </w:pPr>
            <w:r>
              <w:rPr>
                <w:sz w:val="18"/>
                <w:szCs w:val="18"/>
              </w:rPr>
              <w:t>2 500倍～3 000倍</w:t>
            </w:r>
          </w:p>
        </w:tc>
        <w:tc>
          <w:tcPr>
            <w:tcW w:w="1986" w:type="dxa"/>
            <w:tcBorders>
              <w:top w:val="single" w:color="auto" w:sz="8" w:space="0"/>
            </w:tcBorders>
            <w:shd w:val="clear" w:color="auto" w:fill="auto"/>
            <w:vAlign w:val="center"/>
          </w:tcPr>
          <w:p>
            <w:pPr>
              <w:pStyle w:val="56"/>
              <w:ind w:firstLine="0" w:firstLineChars="0"/>
              <w:jc w:val="center"/>
              <w:rPr>
                <w:sz w:val="18"/>
                <w:szCs w:val="18"/>
              </w:rPr>
            </w:pPr>
            <w:r>
              <w:rPr>
                <w:rFonts w:hAnsi="宋体"/>
                <w:color w:val="000000" w:themeColor="text1"/>
                <w:sz w:val="18"/>
                <w:szCs w:val="18"/>
                <w14:textFill>
                  <w14:solidFill>
                    <w14:schemeClr w14:val="tx1"/>
                  </w14:solidFill>
                </w14:textFill>
              </w:rPr>
              <w:t>14</w:t>
            </w:r>
          </w:p>
        </w:tc>
        <w:tc>
          <w:tcPr>
            <w:tcW w:w="2681" w:type="dxa"/>
            <w:tcBorders>
              <w:top w:val="single" w:color="auto" w:sz="8" w:space="0"/>
            </w:tcBorders>
            <w:shd w:val="clear" w:color="auto" w:fill="auto"/>
            <w:vAlign w:val="center"/>
          </w:tcPr>
          <w:p>
            <w:pPr>
              <w:pStyle w:val="56"/>
              <w:ind w:firstLine="0" w:firstLineChars="0"/>
              <w:jc w:val="center"/>
              <w:rPr>
                <w:sz w:val="18"/>
                <w:szCs w:val="18"/>
              </w:rPr>
            </w:pPr>
            <w:r>
              <w:rPr>
                <w:rFonts w:hAnsi="宋体"/>
                <w:color w:val="000000" w:themeColor="text1"/>
                <w:sz w:val="18"/>
                <w:szCs w:val="18"/>
                <w14:textFill>
                  <w14:solidFill>
                    <w14:schemeClr w14:val="tx1"/>
                  </w14:solidFill>
                </w14:textFill>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178"/>
              <w:rPr>
                <w:szCs w:val="18"/>
              </w:rPr>
            </w:pPr>
            <w:r>
              <w:rPr>
                <w:rFonts w:hint="eastAsia"/>
                <w:szCs w:val="18"/>
              </w:rPr>
              <w:t>43</w:t>
            </w:r>
            <w:r>
              <w:rPr>
                <w:szCs w:val="18"/>
              </w:rPr>
              <w:t>%联苯肼酯</w:t>
            </w:r>
            <w:r>
              <w:rPr>
                <w:rFonts w:hint="eastAsia"/>
                <w:szCs w:val="18"/>
              </w:rPr>
              <w:t>悬浮剂</w:t>
            </w:r>
          </w:p>
        </w:tc>
        <w:tc>
          <w:tcPr>
            <w:tcW w:w="2333" w:type="dxa"/>
            <w:shd w:val="clear" w:color="auto" w:fill="auto"/>
            <w:vAlign w:val="center"/>
          </w:tcPr>
          <w:p>
            <w:pPr>
              <w:pStyle w:val="56"/>
              <w:ind w:firstLine="0" w:firstLineChars="0"/>
              <w:jc w:val="center"/>
              <w:rPr>
                <w:sz w:val="18"/>
                <w:szCs w:val="18"/>
              </w:rPr>
            </w:pPr>
            <w:r>
              <w:rPr>
                <w:rFonts w:hint="eastAsia"/>
                <w:sz w:val="18"/>
                <w:szCs w:val="18"/>
              </w:rPr>
              <w:t>1</w:t>
            </w:r>
            <w:r>
              <w:rPr>
                <w:sz w:val="18"/>
                <w:szCs w:val="18"/>
              </w:rPr>
              <w:t xml:space="preserve"> </w:t>
            </w:r>
            <w:r>
              <w:rPr>
                <w:rFonts w:hint="eastAsia"/>
                <w:sz w:val="18"/>
                <w:szCs w:val="18"/>
              </w:rPr>
              <w:t>800</w:t>
            </w:r>
            <w:r>
              <w:rPr>
                <w:sz w:val="18"/>
                <w:szCs w:val="18"/>
              </w:rPr>
              <w:t>倍～</w:t>
            </w:r>
            <w:r>
              <w:rPr>
                <w:rFonts w:hint="eastAsia"/>
                <w:sz w:val="18"/>
                <w:szCs w:val="18"/>
              </w:rPr>
              <w:t>3</w:t>
            </w:r>
            <w:r>
              <w:rPr>
                <w:sz w:val="18"/>
                <w:szCs w:val="18"/>
              </w:rPr>
              <w:t xml:space="preserve"> </w:t>
            </w:r>
            <w:r>
              <w:rPr>
                <w:rFonts w:hint="eastAsia"/>
                <w:sz w:val="18"/>
                <w:szCs w:val="18"/>
              </w:rPr>
              <w:t>000倍</w:t>
            </w:r>
          </w:p>
        </w:tc>
        <w:tc>
          <w:tcPr>
            <w:tcW w:w="1986" w:type="dxa"/>
            <w:shd w:val="clear" w:color="auto" w:fill="auto"/>
            <w:vAlign w:val="center"/>
          </w:tcPr>
          <w:p>
            <w:pPr>
              <w:pStyle w:val="56"/>
              <w:ind w:firstLine="0" w:firstLineChars="0"/>
              <w:jc w:val="center"/>
              <w:rPr>
                <w:sz w:val="18"/>
                <w:szCs w:val="18"/>
              </w:rPr>
            </w:pPr>
            <w:r>
              <w:rPr>
                <w:rFonts w:hAnsi="宋体"/>
                <w:sz w:val="18"/>
                <w:szCs w:val="18"/>
              </w:rPr>
              <w:t>14</w:t>
            </w:r>
          </w:p>
        </w:tc>
        <w:tc>
          <w:tcPr>
            <w:tcW w:w="2681" w:type="dxa"/>
            <w:shd w:val="clear" w:color="auto" w:fill="auto"/>
            <w:vAlign w:val="center"/>
          </w:tcPr>
          <w:p>
            <w:pPr>
              <w:pStyle w:val="56"/>
              <w:ind w:firstLine="0" w:firstLineChars="0"/>
              <w:jc w:val="center"/>
              <w:rPr>
                <w:sz w:val="18"/>
                <w:szCs w:val="18"/>
              </w:rPr>
            </w:pPr>
            <w:r>
              <w:rPr>
                <w:rFonts w:hAnsi="宋体"/>
                <w:sz w:val="18"/>
                <w:szCs w:val="18"/>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4" w:type="dxa"/>
            <w:shd w:val="clear" w:color="auto" w:fill="auto"/>
            <w:vAlign w:val="center"/>
          </w:tcPr>
          <w:p>
            <w:pPr>
              <w:pStyle w:val="178"/>
              <w:rPr>
                <w:szCs w:val="18"/>
              </w:rPr>
            </w:pPr>
            <w:r>
              <w:rPr>
                <w:szCs w:val="18"/>
              </w:rPr>
              <w:t>240 g</w:t>
            </w:r>
            <w:r>
              <w:rPr>
                <w:rFonts w:hint="eastAsia"/>
                <w:szCs w:val="18"/>
              </w:rPr>
              <w:t>/L螺螨酯悬浮剂</w:t>
            </w:r>
          </w:p>
        </w:tc>
        <w:tc>
          <w:tcPr>
            <w:tcW w:w="2333" w:type="dxa"/>
            <w:shd w:val="clear" w:color="auto" w:fill="auto"/>
            <w:vAlign w:val="center"/>
          </w:tcPr>
          <w:p>
            <w:pPr>
              <w:pStyle w:val="56"/>
              <w:ind w:firstLine="0" w:firstLineChars="0"/>
              <w:jc w:val="center"/>
              <w:rPr>
                <w:sz w:val="18"/>
                <w:szCs w:val="18"/>
              </w:rPr>
            </w:pPr>
            <w:r>
              <w:rPr>
                <w:sz w:val="18"/>
                <w:szCs w:val="18"/>
              </w:rPr>
              <w:t>4 000倍～6 000倍</w:t>
            </w:r>
          </w:p>
        </w:tc>
        <w:tc>
          <w:tcPr>
            <w:tcW w:w="1986" w:type="dxa"/>
            <w:shd w:val="clear" w:color="auto" w:fill="auto"/>
            <w:vAlign w:val="center"/>
          </w:tcPr>
          <w:p>
            <w:pPr>
              <w:pStyle w:val="56"/>
              <w:ind w:firstLine="0" w:firstLineChars="0"/>
              <w:jc w:val="center"/>
              <w:rPr>
                <w:sz w:val="18"/>
                <w:szCs w:val="18"/>
              </w:rPr>
            </w:pPr>
            <w:r>
              <w:rPr>
                <w:rFonts w:hAnsi="宋体"/>
                <w:sz w:val="18"/>
                <w:szCs w:val="18"/>
              </w:rPr>
              <w:t>30</w:t>
            </w:r>
          </w:p>
        </w:tc>
        <w:tc>
          <w:tcPr>
            <w:tcW w:w="2681" w:type="dxa"/>
            <w:shd w:val="clear" w:color="auto" w:fill="auto"/>
            <w:vAlign w:val="center"/>
          </w:tcPr>
          <w:p>
            <w:pPr>
              <w:pStyle w:val="56"/>
              <w:ind w:firstLine="0" w:firstLineChars="0"/>
              <w:jc w:val="center"/>
              <w:rPr>
                <w:sz w:val="18"/>
                <w:szCs w:val="18"/>
              </w:rPr>
            </w:pPr>
            <w:r>
              <w:rPr>
                <w:rFonts w:hAnsi="宋体"/>
                <w:sz w:val="18"/>
                <w:szCs w:val="18"/>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178"/>
              <w:rPr>
                <w:szCs w:val="18"/>
              </w:rPr>
            </w:pPr>
            <w:r>
              <w:rPr>
                <w:szCs w:val="18"/>
              </w:rPr>
              <w:t>110 g</w:t>
            </w:r>
            <w:r>
              <w:rPr>
                <w:rFonts w:hint="eastAsia"/>
                <w:szCs w:val="18"/>
              </w:rPr>
              <w:t>/L乙螨唑悬浮剂</w:t>
            </w:r>
          </w:p>
        </w:tc>
        <w:tc>
          <w:tcPr>
            <w:tcW w:w="2333" w:type="dxa"/>
            <w:shd w:val="clear" w:color="auto" w:fill="auto"/>
            <w:vAlign w:val="center"/>
          </w:tcPr>
          <w:p>
            <w:pPr>
              <w:pStyle w:val="56"/>
              <w:ind w:firstLine="0" w:firstLineChars="0"/>
              <w:jc w:val="center"/>
              <w:rPr>
                <w:sz w:val="18"/>
                <w:szCs w:val="18"/>
              </w:rPr>
            </w:pPr>
            <w:r>
              <w:rPr>
                <w:sz w:val="18"/>
                <w:szCs w:val="18"/>
              </w:rPr>
              <w:t>5 000倍～7 000倍</w:t>
            </w:r>
          </w:p>
        </w:tc>
        <w:tc>
          <w:tcPr>
            <w:tcW w:w="1986" w:type="dxa"/>
            <w:shd w:val="clear" w:color="auto" w:fill="auto"/>
            <w:vAlign w:val="center"/>
          </w:tcPr>
          <w:p>
            <w:pPr>
              <w:pStyle w:val="56"/>
              <w:ind w:firstLine="0" w:firstLineChars="0"/>
              <w:jc w:val="center"/>
              <w:rPr>
                <w:sz w:val="18"/>
                <w:szCs w:val="18"/>
              </w:rPr>
            </w:pPr>
            <w:r>
              <w:rPr>
                <w:rFonts w:hAnsi="宋体"/>
                <w:sz w:val="18"/>
                <w:szCs w:val="18"/>
              </w:rPr>
              <w:t>21</w:t>
            </w:r>
          </w:p>
        </w:tc>
        <w:tc>
          <w:tcPr>
            <w:tcW w:w="2681" w:type="dxa"/>
            <w:shd w:val="clear" w:color="auto" w:fill="auto"/>
            <w:vAlign w:val="center"/>
          </w:tcPr>
          <w:p>
            <w:pPr>
              <w:pStyle w:val="56"/>
              <w:ind w:firstLine="0" w:firstLineChars="0"/>
              <w:jc w:val="center"/>
              <w:rPr>
                <w:sz w:val="18"/>
                <w:szCs w:val="18"/>
              </w:rPr>
            </w:pPr>
            <w:r>
              <w:rPr>
                <w:rFonts w:hint="eastAsia" w:hAnsi="宋体"/>
                <w:sz w:val="18"/>
                <w:szCs w:val="18"/>
              </w:rPr>
              <w:t>2</w:t>
            </w:r>
          </w:p>
        </w:tc>
      </w:tr>
    </w:tbl>
    <w:p>
      <w:pPr>
        <w:pStyle w:val="56"/>
        <w:ind w:firstLine="0" w:firstLineChars="0"/>
        <w:sectPr>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76" w:name="_Toc160707860"/>
      <w:bookmarkStart w:id="77" w:name="_Toc160707902"/>
      <w:bookmarkStart w:id="78" w:name="_Toc173510360"/>
      <w:r>
        <w:rPr>
          <w:rFonts w:hint="eastAsia"/>
        </w:rPr>
        <w:t>（资料性）</w:t>
      </w:r>
      <w:r>
        <w:br w:type="textWrapping"/>
      </w:r>
      <w:r>
        <w:rPr>
          <w:rFonts w:hint="eastAsia"/>
        </w:rPr>
        <w:t>农药使用记录</w:t>
      </w:r>
      <w:bookmarkEnd w:id="76"/>
      <w:bookmarkEnd w:id="77"/>
      <w:bookmarkEnd w:id="78"/>
    </w:p>
    <w:p>
      <w:pPr>
        <w:pStyle w:val="56"/>
        <w:ind w:firstLine="420"/>
      </w:pPr>
      <w:r>
        <w:rPr>
          <w:rFonts w:hint="eastAsia"/>
        </w:rPr>
        <w:t>表C.1列出了农药使用记录。</w:t>
      </w:r>
    </w:p>
    <w:p>
      <w:pPr>
        <w:pStyle w:val="77"/>
        <w:spacing w:before="156" w:after="156"/>
      </w:pPr>
      <w:r>
        <w:rPr>
          <w:rFonts w:hint="eastAsia"/>
        </w:rPr>
        <w:t>农药使用记录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9"/>
        <w:gridCol w:w="848"/>
        <w:gridCol w:w="848"/>
        <w:gridCol w:w="848"/>
        <w:gridCol w:w="848"/>
        <w:gridCol w:w="848"/>
        <w:gridCol w:w="849"/>
        <w:gridCol w:w="849"/>
        <w:gridCol w:w="849"/>
        <w:gridCol w:w="1001"/>
        <w:gridCol w:w="69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9" w:type="dxa"/>
            <w:tcBorders>
              <w:top w:val="single" w:color="auto" w:sz="8" w:space="0"/>
              <w:bottom w:val="single" w:color="auto" w:sz="8" w:space="0"/>
            </w:tcBorders>
            <w:shd w:val="clear" w:color="auto" w:fill="auto"/>
            <w:vAlign w:val="center"/>
          </w:tcPr>
          <w:p>
            <w:pPr>
              <w:pStyle w:val="178"/>
            </w:pPr>
            <w:r>
              <w:rPr>
                <w:rFonts w:hint="eastAsia"/>
              </w:rPr>
              <w:t>日期</w:t>
            </w:r>
          </w:p>
        </w:tc>
        <w:tc>
          <w:tcPr>
            <w:tcW w:w="848" w:type="dxa"/>
            <w:tcBorders>
              <w:top w:val="single" w:color="auto" w:sz="8" w:space="0"/>
              <w:bottom w:val="single" w:color="auto" w:sz="8" w:space="0"/>
            </w:tcBorders>
            <w:shd w:val="clear" w:color="auto" w:fill="auto"/>
            <w:vAlign w:val="center"/>
          </w:tcPr>
          <w:p>
            <w:pPr>
              <w:pStyle w:val="178"/>
            </w:pPr>
            <w:r>
              <w:rPr>
                <w:rFonts w:hint="eastAsia"/>
              </w:rPr>
              <w:t>农药名称及</w:t>
            </w:r>
            <w:r>
              <w:t>剂型</w:t>
            </w:r>
          </w:p>
        </w:tc>
        <w:tc>
          <w:tcPr>
            <w:tcW w:w="848" w:type="dxa"/>
            <w:tcBorders>
              <w:top w:val="single" w:color="auto" w:sz="8" w:space="0"/>
              <w:bottom w:val="single" w:color="auto" w:sz="8" w:space="0"/>
            </w:tcBorders>
            <w:shd w:val="clear" w:color="auto" w:fill="auto"/>
            <w:vAlign w:val="center"/>
          </w:tcPr>
          <w:p>
            <w:pPr>
              <w:pStyle w:val="178"/>
            </w:pPr>
            <w:r>
              <w:rPr>
                <w:rFonts w:hint="eastAsia"/>
              </w:rPr>
              <w:t>有效成分及含量</w:t>
            </w:r>
          </w:p>
        </w:tc>
        <w:tc>
          <w:tcPr>
            <w:tcW w:w="848" w:type="dxa"/>
            <w:tcBorders>
              <w:top w:val="single" w:color="auto" w:sz="8" w:space="0"/>
              <w:bottom w:val="single" w:color="auto" w:sz="8" w:space="0"/>
            </w:tcBorders>
            <w:shd w:val="clear" w:color="auto" w:fill="auto"/>
            <w:vAlign w:val="center"/>
          </w:tcPr>
          <w:p>
            <w:pPr>
              <w:pStyle w:val="178"/>
            </w:pPr>
            <w:r>
              <w:rPr>
                <w:rFonts w:hint="eastAsia"/>
              </w:rPr>
              <w:t>产品批号</w:t>
            </w:r>
          </w:p>
        </w:tc>
        <w:tc>
          <w:tcPr>
            <w:tcW w:w="848" w:type="dxa"/>
            <w:tcBorders>
              <w:top w:val="single" w:color="auto" w:sz="8" w:space="0"/>
              <w:bottom w:val="single" w:color="auto" w:sz="8" w:space="0"/>
            </w:tcBorders>
            <w:shd w:val="clear" w:color="auto" w:fill="auto"/>
            <w:vAlign w:val="center"/>
          </w:tcPr>
          <w:p>
            <w:pPr>
              <w:pStyle w:val="178"/>
            </w:pPr>
            <w:r>
              <w:rPr>
                <w:rFonts w:hint="eastAsia"/>
              </w:rPr>
              <w:t>使用作物</w:t>
            </w:r>
          </w:p>
        </w:tc>
        <w:tc>
          <w:tcPr>
            <w:tcW w:w="848" w:type="dxa"/>
            <w:tcBorders>
              <w:top w:val="single" w:color="auto" w:sz="8" w:space="0"/>
              <w:bottom w:val="single" w:color="auto" w:sz="8" w:space="0"/>
            </w:tcBorders>
            <w:shd w:val="clear" w:color="auto" w:fill="auto"/>
            <w:vAlign w:val="center"/>
          </w:tcPr>
          <w:p>
            <w:pPr>
              <w:pStyle w:val="178"/>
            </w:pPr>
            <w:r>
              <w:rPr>
                <w:rFonts w:hint="eastAsia"/>
              </w:rPr>
              <w:t>防治对象</w:t>
            </w:r>
          </w:p>
        </w:tc>
        <w:tc>
          <w:tcPr>
            <w:tcW w:w="849" w:type="dxa"/>
            <w:tcBorders>
              <w:top w:val="single" w:color="auto" w:sz="8" w:space="0"/>
              <w:bottom w:val="single" w:color="auto" w:sz="8" w:space="0"/>
            </w:tcBorders>
            <w:shd w:val="clear" w:color="auto" w:fill="auto"/>
            <w:vAlign w:val="center"/>
          </w:tcPr>
          <w:p>
            <w:pPr>
              <w:pStyle w:val="178"/>
            </w:pPr>
            <w:r>
              <w:rPr>
                <w:rFonts w:hint="eastAsia"/>
              </w:rPr>
              <w:t>用药量</w:t>
            </w:r>
          </w:p>
        </w:tc>
        <w:tc>
          <w:tcPr>
            <w:tcW w:w="849" w:type="dxa"/>
            <w:tcBorders>
              <w:top w:val="single" w:color="auto" w:sz="8" w:space="0"/>
              <w:bottom w:val="single" w:color="auto" w:sz="8" w:space="0"/>
            </w:tcBorders>
            <w:shd w:val="clear" w:color="auto" w:fill="auto"/>
            <w:vAlign w:val="center"/>
          </w:tcPr>
          <w:p>
            <w:pPr>
              <w:pStyle w:val="178"/>
            </w:pPr>
            <w:r>
              <w:rPr>
                <w:rFonts w:hint="eastAsia"/>
              </w:rPr>
              <w:t>施用方式</w:t>
            </w:r>
          </w:p>
        </w:tc>
        <w:tc>
          <w:tcPr>
            <w:tcW w:w="849" w:type="dxa"/>
            <w:tcBorders>
              <w:top w:val="single" w:color="auto" w:sz="8" w:space="0"/>
              <w:bottom w:val="single" w:color="auto" w:sz="8" w:space="0"/>
            </w:tcBorders>
            <w:shd w:val="clear" w:color="auto" w:fill="auto"/>
            <w:vAlign w:val="center"/>
          </w:tcPr>
          <w:p>
            <w:pPr>
              <w:pStyle w:val="178"/>
            </w:pPr>
            <w:r>
              <w:rPr>
                <w:rFonts w:hint="eastAsia"/>
              </w:rPr>
              <w:t>施药器械</w:t>
            </w:r>
          </w:p>
        </w:tc>
        <w:tc>
          <w:tcPr>
            <w:tcW w:w="1001" w:type="dxa"/>
            <w:tcBorders>
              <w:top w:val="single" w:color="auto" w:sz="8" w:space="0"/>
              <w:bottom w:val="single" w:color="auto" w:sz="8" w:space="0"/>
            </w:tcBorders>
            <w:shd w:val="clear" w:color="auto" w:fill="auto"/>
            <w:vAlign w:val="center"/>
          </w:tcPr>
          <w:p>
            <w:pPr>
              <w:pStyle w:val="178"/>
            </w:pPr>
            <w:r>
              <w:rPr>
                <w:rFonts w:hint="eastAsia"/>
              </w:rPr>
              <w:t>安全</w:t>
            </w:r>
            <w:r>
              <w:t>间隔期</w:t>
            </w:r>
          </w:p>
        </w:tc>
        <w:tc>
          <w:tcPr>
            <w:tcW w:w="697" w:type="dxa"/>
            <w:tcBorders>
              <w:top w:val="single" w:color="auto" w:sz="8" w:space="0"/>
              <w:bottom w:val="single" w:color="auto" w:sz="8" w:space="0"/>
            </w:tcBorders>
            <w:shd w:val="clear" w:color="auto" w:fill="auto"/>
            <w:vAlign w:val="center"/>
          </w:tcPr>
          <w:p>
            <w:pPr>
              <w:pStyle w:val="178"/>
            </w:pPr>
            <w:r>
              <w:rPr>
                <w:rFonts w:hint="eastAsia"/>
              </w:rPr>
              <w:t>操作人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tcBorders>
              <w:top w:val="single" w:color="auto" w:sz="8" w:space="0"/>
            </w:tcBorders>
            <w:shd w:val="clear" w:color="auto" w:fill="auto"/>
            <w:vAlign w:val="center"/>
          </w:tcPr>
          <w:p>
            <w:pPr>
              <w:pStyle w:val="178"/>
            </w:pPr>
          </w:p>
        </w:tc>
        <w:tc>
          <w:tcPr>
            <w:tcW w:w="848" w:type="dxa"/>
            <w:tcBorders>
              <w:top w:val="single" w:color="auto" w:sz="8" w:space="0"/>
            </w:tcBorders>
            <w:shd w:val="clear" w:color="auto" w:fill="auto"/>
            <w:vAlign w:val="center"/>
          </w:tcPr>
          <w:p>
            <w:pPr>
              <w:pStyle w:val="178"/>
            </w:pPr>
          </w:p>
        </w:tc>
        <w:tc>
          <w:tcPr>
            <w:tcW w:w="848" w:type="dxa"/>
            <w:tcBorders>
              <w:top w:val="single" w:color="auto" w:sz="8" w:space="0"/>
            </w:tcBorders>
            <w:shd w:val="clear" w:color="auto" w:fill="auto"/>
            <w:vAlign w:val="center"/>
          </w:tcPr>
          <w:p>
            <w:pPr>
              <w:pStyle w:val="178"/>
            </w:pPr>
          </w:p>
        </w:tc>
        <w:tc>
          <w:tcPr>
            <w:tcW w:w="848" w:type="dxa"/>
            <w:tcBorders>
              <w:top w:val="single" w:color="auto" w:sz="8" w:space="0"/>
            </w:tcBorders>
            <w:shd w:val="clear" w:color="auto" w:fill="auto"/>
            <w:vAlign w:val="center"/>
          </w:tcPr>
          <w:p>
            <w:pPr>
              <w:pStyle w:val="178"/>
            </w:pPr>
          </w:p>
        </w:tc>
        <w:tc>
          <w:tcPr>
            <w:tcW w:w="848" w:type="dxa"/>
            <w:tcBorders>
              <w:top w:val="single" w:color="auto" w:sz="8" w:space="0"/>
            </w:tcBorders>
            <w:shd w:val="clear" w:color="auto" w:fill="auto"/>
            <w:vAlign w:val="center"/>
          </w:tcPr>
          <w:p>
            <w:pPr>
              <w:pStyle w:val="178"/>
            </w:pPr>
          </w:p>
        </w:tc>
        <w:tc>
          <w:tcPr>
            <w:tcW w:w="848" w:type="dxa"/>
            <w:tcBorders>
              <w:top w:val="single" w:color="auto" w:sz="8" w:space="0"/>
            </w:tcBorders>
            <w:shd w:val="clear" w:color="auto" w:fill="auto"/>
            <w:vAlign w:val="center"/>
          </w:tcPr>
          <w:p>
            <w:pPr>
              <w:pStyle w:val="178"/>
            </w:pPr>
          </w:p>
        </w:tc>
        <w:tc>
          <w:tcPr>
            <w:tcW w:w="849" w:type="dxa"/>
            <w:tcBorders>
              <w:top w:val="single" w:color="auto" w:sz="8" w:space="0"/>
            </w:tcBorders>
            <w:shd w:val="clear" w:color="auto" w:fill="auto"/>
            <w:vAlign w:val="center"/>
          </w:tcPr>
          <w:p>
            <w:pPr>
              <w:pStyle w:val="178"/>
            </w:pPr>
          </w:p>
        </w:tc>
        <w:tc>
          <w:tcPr>
            <w:tcW w:w="849" w:type="dxa"/>
            <w:tcBorders>
              <w:top w:val="single" w:color="auto" w:sz="8" w:space="0"/>
            </w:tcBorders>
            <w:shd w:val="clear" w:color="auto" w:fill="auto"/>
            <w:vAlign w:val="center"/>
          </w:tcPr>
          <w:p>
            <w:pPr>
              <w:pStyle w:val="178"/>
            </w:pPr>
          </w:p>
        </w:tc>
        <w:tc>
          <w:tcPr>
            <w:tcW w:w="849" w:type="dxa"/>
            <w:tcBorders>
              <w:top w:val="single" w:color="auto" w:sz="8" w:space="0"/>
            </w:tcBorders>
            <w:shd w:val="clear" w:color="auto" w:fill="auto"/>
            <w:vAlign w:val="center"/>
          </w:tcPr>
          <w:p>
            <w:pPr>
              <w:pStyle w:val="178"/>
            </w:pPr>
          </w:p>
        </w:tc>
        <w:tc>
          <w:tcPr>
            <w:tcW w:w="1001" w:type="dxa"/>
            <w:tcBorders>
              <w:top w:val="single" w:color="auto" w:sz="8" w:space="0"/>
            </w:tcBorders>
            <w:shd w:val="clear" w:color="auto" w:fill="auto"/>
            <w:vAlign w:val="center"/>
          </w:tcPr>
          <w:p>
            <w:pPr>
              <w:pStyle w:val="178"/>
            </w:pPr>
          </w:p>
        </w:tc>
        <w:tc>
          <w:tcPr>
            <w:tcW w:w="697" w:type="dxa"/>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9" w:type="dxa"/>
            <w:shd w:val="clear" w:color="auto" w:fill="auto"/>
            <w:vAlign w:val="center"/>
          </w:tcPr>
          <w:p>
            <w:pPr>
              <w:pStyle w:val="178"/>
            </w:pPr>
          </w:p>
        </w:tc>
        <w:tc>
          <w:tcPr>
            <w:tcW w:w="849" w:type="dxa"/>
            <w:shd w:val="clear" w:color="auto" w:fill="auto"/>
            <w:vAlign w:val="center"/>
          </w:tcPr>
          <w:p>
            <w:pPr>
              <w:pStyle w:val="178"/>
            </w:pPr>
          </w:p>
        </w:tc>
        <w:tc>
          <w:tcPr>
            <w:tcW w:w="849" w:type="dxa"/>
            <w:shd w:val="clear" w:color="auto" w:fill="auto"/>
            <w:vAlign w:val="center"/>
          </w:tcPr>
          <w:p>
            <w:pPr>
              <w:pStyle w:val="178"/>
            </w:pPr>
          </w:p>
        </w:tc>
        <w:tc>
          <w:tcPr>
            <w:tcW w:w="1001" w:type="dxa"/>
            <w:shd w:val="clear" w:color="auto" w:fill="auto"/>
            <w:vAlign w:val="center"/>
          </w:tcPr>
          <w:p>
            <w:pPr>
              <w:pStyle w:val="178"/>
            </w:pPr>
          </w:p>
        </w:tc>
        <w:tc>
          <w:tcPr>
            <w:tcW w:w="69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49"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9" w:type="dxa"/>
            <w:shd w:val="clear" w:color="auto" w:fill="auto"/>
            <w:vAlign w:val="center"/>
          </w:tcPr>
          <w:p>
            <w:pPr>
              <w:pStyle w:val="178"/>
            </w:pPr>
          </w:p>
        </w:tc>
        <w:tc>
          <w:tcPr>
            <w:tcW w:w="849" w:type="dxa"/>
            <w:shd w:val="clear" w:color="auto" w:fill="auto"/>
            <w:vAlign w:val="center"/>
          </w:tcPr>
          <w:p>
            <w:pPr>
              <w:pStyle w:val="178"/>
            </w:pPr>
          </w:p>
        </w:tc>
        <w:tc>
          <w:tcPr>
            <w:tcW w:w="849" w:type="dxa"/>
            <w:shd w:val="clear" w:color="auto" w:fill="auto"/>
            <w:vAlign w:val="center"/>
          </w:tcPr>
          <w:p>
            <w:pPr>
              <w:pStyle w:val="178"/>
            </w:pPr>
          </w:p>
        </w:tc>
        <w:tc>
          <w:tcPr>
            <w:tcW w:w="1001" w:type="dxa"/>
            <w:shd w:val="clear" w:color="auto" w:fill="auto"/>
            <w:vAlign w:val="center"/>
          </w:tcPr>
          <w:p>
            <w:pPr>
              <w:pStyle w:val="178"/>
            </w:pPr>
          </w:p>
        </w:tc>
        <w:tc>
          <w:tcPr>
            <w:tcW w:w="69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9" w:type="dxa"/>
            <w:shd w:val="clear" w:color="auto" w:fill="auto"/>
            <w:vAlign w:val="center"/>
          </w:tcPr>
          <w:p>
            <w:pPr>
              <w:pStyle w:val="178"/>
            </w:pPr>
          </w:p>
        </w:tc>
        <w:tc>
          <w:tcPr>
            <w:tcW w:w="849" w:type="dxa"/>
            <w:shd w:val="clear" w:color="auto" w:fill="auto"/>
            <w:vAlign w:val="center"/>
          </w:tcPr>
          <w:p>
            <w:pPr>
              <w:pStyle w:val="178"/>
            </w:pPr>
          </w:p>
        </w:tc>
        <w:tc>
          <w:tcPr>
            <w:tcW w:w="849" w:type="dxa"/>
            <w:shd w:val="clear" w:color="auto" w:fill="auto"/>
            <w:vAlign w:val="center"/>
          </w:tcPr>
          <w:p>
            <w:pPr>
              <w:pStyle w:val="178"/>
            </w:pPr>
          </w:p>
        </w:tc>
        <w:tc>
          <w:tcPr>
            <w:tcW w:w="1001" w:type="dxa"/>
            <w:shd w:val="clear" w:color="auto" w:fill="auto"/>
            <w:vAlign w:val="center"/>
          </w:tcPr>
          <w:p>
            <w:pPr>
              <w:pStyle w:val="178"/>
            </w:pPr>
          </w:p>
        </w:tc>
        <w:tc>
          <w:tcPr>
            <w:tcW w:w="69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8" w:type="dxa"/>
            <w:shd w:val="clear" w:color="auto" w:fill="auto"/>
            <w:vAlign w:val="center"/>
          </w:tcPr>
          <w:p>
            <w:pPr>
              <w:pStyle w:val="178"/>
            </w:pPr>
          </w:p>
        </w:tc>
        <w:tc>
          <w:tcPr>
            <w:tcW w:w="849" w:type="dxa"/>
            <w:shd w:val="clear" w:color="auto" w:fill="auto"/>
            <w:vAlign w:val="center"/>
          </w:tcPr>
          <w:p>
            <w:pPr>
              <w:pStyle w:val="178"/>
            </w:pPr>
          </w:p>
        </w:tc>
        <w:tc>
          <w:tcPr>
            <w:tcW w:w="849" w:type="dxa"/>
            <w:shd w:val="clear" w:color="auto" w:fill="auto"/>
            <w:vAlign w:val="center"/>
          </w:tcPr>
          <w:p>
            <w:pPr>
              <w:pStyle w:val="178"/>
            </w:pPr>
          </w:p>
        </w:tc>
        <w:tc>
          <w:tcPr>
            <w:tcW w:w="849" w:type="dxa"/>
            <w:shd w:val="clear" w:color="auto" w:fill="auto"/>
            <w:vAlign w:val="center"/>
          </w:tcPr>
          <w:p>
            <w:pPr>
              <w:pStyle w:val="178"/>
            </w:pPr>
          </w:p>
        </w:tc>
        <w:tc>
          <w:tcPr>
            <w:tcW w:w="1001" w:type="dxa"/>
            <w:shd w:val="clear" w:color="auto" w:fill="auto"/>
            <w:vAlign w:val="center"/>
          </w:tcPr>
          <w:p>
            <w:pPr>
              <w:pStyle w:val="178"/>
            </w:pPr>
          </w:p>
        </w:tc>
        <w:tc>
          <w:tcPr>
            <w:tcW w:w="697" w:type="dxa"/>
            <w:shd w:val="clear" w:color="auto" w:fill="auto"/>
            <w:vAlign w:val="center"/>
          </w:tcPr>
          <w:p>
            <w:pPr>
              <w:pStyle w:val="178"/>
            </w:pPr>
          </w:p>
        </w:tc>
      </w:tr>
      <w:bookmarkEnd w:id="64"/>
    </w:tbl>
    <w:p>
      <w:pPr>
        <w:pStyle w:val="56"/>
        <w:ind w:firstLine="0" w:firstLineChars="0"/>
        <w:jc w:val="center"/>
      </w:pPr>
      <w:bookmarkStart w:id="79"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79"/>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等线">
    <w:altName w:val="汉仪中宋简"/>
    <w:panose1 w:val="02010600030101010101"/>
    <w:charset w:val="86"/>
    <w:family w:val="auto"/>
    <w:pitch w:val="default"/>
    <w:sig w:usb0="00000000" w:usb1="00000000" w:usb2="00000016" w:usb3="00000000" w:csb0="0004000F" w:csb1="00000000"/>
  </w:font>
  <w:font w:name="等线 Light">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等线">
    <w:altName w:val="文泉驿微米黑"/>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60F"/>
    <w:rsid w:val="0000040A"/>
    <w:rsid w:val="00000A94"/>
    <w:rsid w:val="00001972"/>
    <w:rsid w:val="00001D9A"/>
    <w:rsid w:val="00007B3A"/>
    <w:rsid w:val="000107E0"/>
    <w:rsid w:val="00011FDE"/>
    <w:rsid w:val="0001261D"/>
    <w:rsid w:val="00012FFD"/>
    <w:rsid w:val="00014162"/>
    <w:rsid w:val="00014340"/>
    <w:rsid w:val="00016A9C"/>
    <w:rsid w:val="00016D4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3F9"/>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B1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8E5"/>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6CC"/>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5572"/>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6BC"/>
    <w:rsid w:val="003615D2"/>
    <w:rsid w:val="0036429C"/>
    <w:rsid w:val="00364A53"/>
    <w:rsid w:val="003654CB"/>
    <w:rsid w:val="00365AA9"/>
    <w:rsid w:val="00365F86"/>
    <w:rsid w:val="00365F87"/>
    <w:rsid w:val="00366E89"/>
    <w:rsid w:val="003705F4"/>
    <w:rsid w:val="00370D58"/>
    <w:rsid w:val="00371316"/>
    <w:rsid w:val="0037468D"/>
    <w:rsid w:val="00376713"/>
    <w:rsid w:val="00377D7A"/>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882"/>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43B"/>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047"/>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272"/>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5B9"/>
    <w:rsid w:val="0081012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8F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460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2DA6"/>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231"/>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650"/>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B5F"/>
    <w:rsid w:val="00B67E53"/>
    <w:rsid w:val="00B72880"/>
    <w:rsid w:val="00B758BF"/>
    <w:rsid w:val="00B77EC8"/>
    <w:rsid w:val="00B827A6"/>
    <w:rsid w:val="00B82EAA"/>
    <w:rsid w:val="00B831CE"/>
    <w:rsid w:val="00B86677"/>
    <w:rsid w:val="00B87131"/>
    <w:rsid w:val="00B939B1"/>
    <w:rsid w:val="00B96D40"/>
    <w:rsid w:val="00B97386"/>
    <w:rsid w:val="00BA263B"/>
    <w:rsid w:val="00BA42B2"/>
    <w:rsid w:val="00BA58D4"/>
    <w:rsid w:val="00BA5B9E"/>
    <w:rsid w:val="00BA7C9A"/>
    <w:rsid w:val="00BB203B"/>
    <w:rsid w:val="00BB2A0F"/>
    <w:rsid w:val="00BB5F8F"/>
    <w:rsid w:val="00BB657A"/>
    <w:rsid w:val="00BC1A4E"/>
    <w:rsid w:val="00BC4790"/>
    <w:rsid w:val="00BC5DC7"/>
    <w:rsid w:val="00BC6B8B"/>
    <w:rsid w:val="00BC73D8"/>
    <w:rsid w:val="00BD09D7"/>
    <w:rsid w:val="00BD52D7"/>
    <w:rsid w:val="00BD5AD2"/>
    <w:rsid w:val="00BE22F3"/>
    <w:rsid w:val="00BE5B52"/>
    <w:rsid w:val="00BE7B8D"/>
    <w:rsid w:val="00BF0993"/>
    <w:rsid w:val="00BF10A9"/>
    <w:rsid w:val="00BF1703"/>
    <w:rsid w:val="00BF231C"/>
    <w:rsid w:val="00BF51E5"/>
    <w:rsid w:val="00BF74A6"/>
    <w:rsid w:val="00C001B4"/>
    <w:rsid w:val="00C013AD"/>
    <w:rsid w:val="00C04904"/>
    <w:rsid w:val="00C056B3"/>
    <w:rsid w:val="00C103E5"/>
    <w:rsid w:val="00C1231E"/>
    <w:rsid w:val="00C13319"/>
    <w:rsid w:val="00C13EE9"/>
    <w:rsid w:val="00C21540"/>
    <w:rsid w:val="00C21906"/>
    <w:rsid w:val="00C21BFA"/>
    <w:rsid w:val="00C22148"/>
    <w:rsid w:val="00C24C8D"/>
    <w:rsid w:val="00C25FE2"/>
    <w:rsid w:val="00C26B53"/>
    <w:rsid w:val="00C273B5"/>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7AF"/>
    <w:rsid w:val="00CC286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76A7"/>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1A"/>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AB4"/>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0C6"/>
    <w:rsid w:val="00EC5359"/>
    <w:rsid w:val="00EC562A"/>
    <w:rsid w:val="00ED067A"/>
    <w:rsid w:val="00ED2B50"/>
    <w:rsid w:val="00EE0350"/>
    <w:rsid w:val="00EE0719"/>
    <w:rsid w:val="00EE0E80"/>
    <w:rsid w:val="00EE257F"/>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7DE"/>
    <w:rsid w:val="00F25BB6"/>
    <w:rsid w:val="00F26B7E"/>
    <w:rsid w:val="00F27A3B"/>
    <w:rsid w:val="00F33817"/>
    <w:rsid w:val="00F420D5"/>
    <w:rsid w:val="00F42C00"/>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260"/>
    <w:rsid w:val="00FF3E7D"/>
    <w:rsid w:val="00FF5B99"/>
    <w:rsid w:val="00FF730C"/>
    <w:rsid w:val="00FF73F4"/>
    <w:rsid w:val="00FF7CE4"/>
    <w:rsid w:val="00FF7E39"/>
    <w:rsid w:val="9EFE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99"/>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99"/>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99"/>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99"/>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99"/>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99"/>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jpeg"/><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E2ACBDE2352438C8B809197EE9629B1"/>
        <w:style w:val=""/>
        <w:category>
          <w:name w:val="常规"/>
          <w:gallery w:val="placeholder"/>
        </w:category>
        <w:types>
          <w:type w:val="bbPlcHdr"/>
        </w:types>
        <w:behaviors>
          <w:behavior w:val="content"/>
        </w:behaviors>
        <w:description w:val=""/>
        <w:guid w:val="{3CC93DA8-2791-4847-AE53-9DB19845DBFD}"/>
      </w:docPartPr>
      <w:docPartBody>
        <w:p>
          <w:pPr>
            <w:pStyle w:val="5"/>
          </w:pPr>
          <w:r>
            <w:rPr>
              <w:rStyle w:val="4"/>
              <w:rFonts w:hint="eastAsia"/>
            </w:rPr>
            <w:t>单击或点击此处输入文字。</w:t>
          </w:r>
        </w:p>
      </w:docPartBody>
    </w:docPart>
    <w:docPart>
      <w:docPartPr>
        <w:name w:val="F94217CABA6E42EAA2BAF25AF9AA204E"/>
        <w:style w:val=""/>
        <w:category>
          <w:name w:val="常规"/>
          <w:gallery w:val="placeholder"/>
        </w:category>
        <w:types>
          <w:type w:val="bbPlcHdr"/>
        </w:types>
        <w:behaviors>
          <w:behavior w:val="content"/>
        </w:behaviors>
        <w:description w:val=""/>
        <w:guid w:val="{B77E2EBD-D92A-4A1B-8069-302827DF0593}"/>
      </w:docPartPr>
      <w:docPartBody>
        <w:p>
          <w:pPr>
            <w:pStyle w:val="6"/>
          </w:pPr>
          <w:r>
            <w:rPr>
              <w:rStyle w:val="4"/>
              <w:rFonts w:hint="eastAsia"/>
            </w:rPr>
            <w:t>选择一项。</w:t>
          </w:r>
        </w:p>
      </w:docPartBody>
    </w:docPart>
    <w:docPart>
      <w:docPartPr>
        <w:name w:val="0A916B425F724EBD8AC870C1659832D1"/>
        <w:style w:val=""/>
        <w:category>
          <w:name w:val="常规"/>
          <w:gallery w:val="placeholder"/>
        </w:category>
        <w:types>
          <w:type w:val="bbPlcHdr"/>
        </w:types>
        <w:behaviors>
          <w:behavior w:val="content"/>
        </w:behaviors>
        <w:description w:val=""/>
        <w:guid w:val="{A4D973C6-F3D0-4D59-88A9-15FCC2671220}"/>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文泉驿微米黑"/>
    <w:panose1 w:val="00000000000000000000"/>
    <w:charset w:val="86"/>
    <w:family w:val="auto"/>
    <w:pitch w:val="default"/>
    <w:sig w:usb0="00000000" w:usb1="00000000" w:usb2="00000000" w:usb3="00000000" w:csb0="00000000" w:csb1="00000000"/>
  </w:font>
  <w:font w:name="等线">
    <w:altName w:val="文泉驿微米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64"/>
    <w:rsid w:val="001643F9"/>
    <w:rsid w:val="00305B9C"/>
    <w:rsid w:val="007A67A0"/>
    <w:rsid w:val="009407CC"/>
    <w:rsid w:val="00B86596"/>
    <w:rsid w:val="00C3224B"/>
    <w:rsid w:val="00DA6741"/>
    <w:rsid w:val="00E273E6"/>
    <w:rsid w:val="00EE7864"/>
    <w:rsid w:val="00F217DE"/>
    <w:rsid w:val="00F63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E2ACBDE2352438C8B809197EE9629B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94217CABA6E42EAA2BAF25AF9AA204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A916B425F724EBD8AC870C1659832D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545</Words>
  <Characters>3111</Characters>
  <Lines>25</Lines>
  <Paragraphs>7</Paragraphs>
  <TotalTime>86</TotalTime>
  <ScaleCrop>false</ScaleCrop>
  <LinksUpToDate>false</LinksUpToDate>
  <CharactersWithSpaces>3649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2024-03-07T11:31:00Z</dcterms:created>
  <dc:creator>LY</dc:creator>
  <dc:description>&lt;config cover="true" show_menu="true" version="1.0.0" doctype="SDKXY"&gt;_x000d_
&lt;/config&gt;</dc:description>
  <cp:lastModifiedBy>baixin</cp:lastModifiedBy>
  <cp:lastPrinted>2024-08-02T18:15:00Z</cp:lastPrinted>
  <dcterms:modified xsi:type="dcterms:W3CDTF">2024-08-23T16:57:13Z</dcterms:modified>
  <dc:title>地方标准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ies>
</file>